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C4CE" w14:textId="1EE3FFE4" w:rsidR="00541879" w:rsidRPr="008A0C01" w:rsidRDefault="00541879" w:rsidP="00541879">
      <w:pPr>
        <w:pStyle w:val="Heading2"/>
        <w:jc w:val="center"/>
        <w:rPr>
          <w:rFonts w:ascii="Arial" w:hAnsi="Arial" w:cs="Arial"/>
          <w:sz w:val="28"/>
          <w:szCs w:val="28"/>
        </w:rPr>
      </w:pPr>
      <w:r w:rsidRPr="008A0C01">
        <w:rPr>
          <w:rFonts w:ascii="Arial" w:hAnsi="Arial" w:cs="Arial"/>
          <w:sz w:val="28"/>
          <w:szCs w:val="28"/>
        </w:rPr>
        <w:t>Shaw Gibbs Group</w:t>
      </w:r>
    </w:p>
    <w:p w14:paraId="62A4DD91" w14:textId="3481526D" w:rsidR="00541879" w:rsidRPr="008A0C01" w:rsidRDefault="00EA508F" w:rsidP="00541879">
      <w:pPr>
        <w:pStyle w:val="Heading2"/>
        <w:jc w:val="center"/>
        <w:rPr>
          <w:rFonts w:ascii="Arial" w:hAnsi="Arial" w:cs="Arial"/>
          <w:sz w:val="28"/>
          <w:szCs w:val="28"/>
        </w:rPr>
      </w:pPr>
      <w:r w:rsidRPr="008A0C01">
        <w:rPr>
          <w:rFonts w:ascii="Arial" w:hAnsi="Arial" w:cs="Arial"/>
          <w:sz w:val="28"/>
          <w:szCs w:val="28"/>
        </w:rPr>
        <w:t>Data Retention and Deletion Policy</w:t>
      </w:r>
      <w:r w:rsidR="00541879" w:rsidRPr="008A0C01">
        <w:rPr>
          <w:rFonts w:ascii="Arial" w:hAnsi="Arial" w:cs="Arial"/>
          <w:sz w:val="28"/>
          <w:szCs w:val="28"/>
        </w:rPr>
        <w:t xml:space="preserve"> </w:t>
      </w:r>
    </w:p>
    <w:p w14:paraId="7A3D5A80" w14:textId="77777777" w:rsidR="00C0282B" w:rsidRPr="00C0282B" w:rsidRDefault="00FB15B1" w:rsidP="00C0282B">
      <w:pPr>
        <w:rPr>
          <w:sz w:val="24"/>
          <w:szCs w:val="24"/>
        </w:rPr>
      </w:pPr>
      <w:r>
        <w:rPr>
          <w:noProof/>
          <w:sz w:val="24"/>
          <w:szCs w:val="24"/>
          <w14:ligatures w14:val="standardContextual"/>
        </w:rPr>
        <w:pict w14:anchorId="133CC4B7">
          <v:rect id="_x0000_i1025" alt="" style="width:451.3pt;height:.05pt;mso-width-percent:0;mso-height-percent:0;mso-width-percent:0;mso-height-percent:0" o:hralign="center" o:hrstd="t" o:hr="t" fillcolor="#a0a0a0" stroked="f"/>
        </w:pict>
      </w:r>
    </w:p>
    <w:p w14:paraId="1EC5E43A" w14:textId="77777777" w:rsidR="00C0282B" w:rsidRPr="00C0282B" w:rsidRDefault="00C0282B" w:rsidP="00C0282B">
      <w:pPr>
        <w:pStyle w:val="Heading2"/>
        <w:rPr>
          <w:rFonts w:ascii="Arial" w:hAnsi="Arial" w:cs="Arial"/>
          <w:sz w:val="24"/>
          <w:szCs w:val="24"/>
        </w:rPr>
      </w:pPr>
      <w:r w:rsidRPr="00C0282B">
        <w:rPr>
          <w:rFonts w:ascii="Arial" w:hAnsi="Arial" w:cs="Arial"/>
          <w:sz w:val="24"/>
          <w:szCs w:val="24"/>
        </w:rPr>
        <w:t>1. Purpose</w:t>
      </w:r>
    </w:p>
    <w:p w14:paraId="28D144FC" w14:textId="77777777" w:rsidR="00C0282B" w:rsidRPr="00C0282B" w:rsidRDefault="00C0282B" w:rsidP="00C0282B">
      <w:pPr>
        <w:pStyle w:val="NormalWeb"/>
        <w:rPr>
          <w:rFonts w:ascii="Arial" w:hAnsi="Arial" w:cs="Arial"/>
        </w:rPr>
      </w:pPr>
      <w:r w:rsidRPr="00C0282B">
        <w:rPr>
          <w:rFonts w:ascii="Arial" w:hAnsi="Arial" w:cs="Arial"/>
        </w:rPr>
        <w:t>This policy establishes the standards and procedures for the retention and destruction of personal data collected and processed by Shaw Gibbs Group ("the Firm") in relation to its clients and employees. The policy aims to ensure compliance with applicable data protection laws while balancing business needs, professional obligations, and individual rights.</w:t>
      </w:r>
    </w:p>
    <w:p w14:paraId="7F504F0F" w14:textId="77777777" w:rsidR="00C0282B" w:rsidRPr="00C0282B" w:rsidRDefault="00C0282B" w:rsidP="00C0282B">
      <w:pPr>
        <w:pStyle w:val="Heading2"/>
        <w:rPr>
          <w:rFonts w:ascii="Arial" w:hAnsi="Arial" w:cs="Arial"/>
          <w:sz w:val="24"/>
          <w:szCs w:val="24"/>
        </w:rPr>
      </w:pPr>
      <w:r w:rsidRPr="00C0282B">
        <w:rPr>
          <w:rFonts w:ascii="Arial" w:hAnsi="Arial" w:cs="Arial"/>
          <w:sz w:val="24"/>
          <w:szCs w:val="24"/>
        </w:rPr>
        <w:t>2. Scope</w:t>
      </w:r>
    </w:p>
    <w:p w14:paraId="46F5F8A5" w14:textId="77777777" w:rsidR="00C0282B" w:rsidRPr="00C0282B" w:rsidRDefault="00C0282B" w:rsidP="00C0282B">
      <w:pPr>
        <w:pStyle w:val="NormalWeb"/>
        <w:rPr>
          <w:rFonts w:ascii="Arial" w:hAnsi="Arial" w:cs="Arial"/>
        </w:rPr>
      </w:pPr>
      <w:r w:rsidRPr="00C0282B">
        <w:rPr>
          <w:rFonts w:ascii="Arial" w:hAnsi="Arial" w:cs="Arial"/>
        </w:rPr>
        <w:t>This policy applies to all personal data processed by the Firm, including:</w:t>
      </w:r>
    </w:p>
    <w:p w14:paraId="6550B811" w14:textId="77777777" w:rsidR="00C0282B" w:rsidRPr="00C0282B" w:rsidRDefault="00C0282B" w:rsidP="00C0282B">
      <w:pPr>
        <w:numPr>
          <w:ilvl w:val="0"/>
          <w:numId w:val="19"/>
        </w:numPr>
        <w:spacing w:before="100" w:beforeAutospacing="1" w:after="100" w:afterAutospacing="1" w:line="240" w:lineRule="auto"/>
        <w:rPr>
          <w:sz w:val="24"/>
          <w:szCs w:val="24"/>
        </w:rPr>
      </w:pPr>
      <w:r w:rsidRPr="00C0282B">
        <w:rPr>
          <w:sz w:val="24"/>
          <w:szCs w:val="24"/>
        </w:rPr>
        <w:t>Client personal data</w:t>
      </w:r>
    </w:p>
    <w:p w14:paraId="64B2541E" w14:textId="77777777" w:rsidR="00C0282B" w:rsidRPr="00C0282B" w:rsidRDefault="00C0282B" w:rsidP="00C0282B">
      <w:pPr>
        <w:numPr>
          <w:ilvl w:val="0"/>
          <w:numId w:val="19"/>
        </w:numPr>
        <w:spacing w:before="100" w:beforeAutospacing="1" w:after="100" w:afterAutospacing="1" w:line="240" w:lineRule="auto"/>
        <w:rPr>
          <w:sz w:val="24"/>
          <w:szCs w:val="24"/>
        </w:rPr>
      </w:pPr>
      <w:r w:rsidRPr="00C0282B">
        <w:rPr>
          <w:sz w:val="24"/>
          <w:szCs w:val="24"/>
        </w:rPr>
        <w:t>Employee and contractor personal data</w:t>
      </w:r>
    </w:p>
    <w:p w14:paraId="2851EAFA" w14:textId="77777777" w:rsidR="00C0282B" w:rsidRPr="00C0282B" w:rsidRDefault="00C0282B" w:rsidP="00C0282B">
      <w:pPr>
        <w:numPr>
          <w:ilvl w:val="0"/>
          <w:numId w:val="19"/>
        </w:numPr>
        <w:spacing w:before="100" w:beforeAutospacing="1" w:after="100" w:afterAutospacing="1" w:line="240" w:lineRule="auto"/>
        <w:rPr>
          <w:sz w:val="24"/>
          <w:szCs w:val="24"/>
        </w:rPr>
      </w:pPr>
      <w:r w:rsidRPr="00C0282B">
        <w:rPr>
          <w:sz w:val="24"/>
          <w:szCs w:val="24"/>
        </w:rPr>
        <w:t>Job applicant data</w:t>
      </w:r>
    </w:p>
    <w:p w14:paraId="69B037C2" w14:textId="77777777" w:rsidR="00C0282B" w:rsidRPr="00C0282B" w:rsidRDefault="00C0282B" w:rsidP="00C0282B">
      <w:pPr>
        <w:numPr>
          <w:ilvl w:val="0"/>
          <w:numId w:val="19"/>
        </w:numPr>
        <w:spacing w:before="100" w:beforeAutospacing="1" w:after="100" w:afterAutospacing="1" w:line="240" w:lineRule="auto"/>
        <w:rPr>
          <w:sz w:val="24"/>
          <w:szCs w:val="24"/>
        </w:rPr>
      </w:pPr>
      <w:r w:rsidRPr="00C0282B">
        <w:rPr>
          <w:sz w:val="24"/>
          <w:szCs w:val="24"/>
        </w:rPr>
        <w:t>Data of client representatives and contacts</w:t>
      </w:r>
    </w:p>
    <w:p w14:paraId="2857FD7F" w14:textId="77777777" w:rsidR="00C0282B" w:rsidRPr="00C0282B" w:rsidRDefault="00C0282B" w:rsidP="00C0282B">
      <w:pPr>
        <w:numPr>
          <w:ilvl w:val="0"/>
          <w:numId w:val="19"/>
        </w:numPr>
        <w:spacing w:before="100" w:beforeAutospacing="1" w:after="100" w:afterAutospacing="1" w:line="240" w:lineRule="auto"/>
        <w:rPr>
          <w:sz w:val="24"/>
          <w:szCs w:val="24"/>
        </w:rPr>
      </w:pPr>
      <w:r w:rsidRPr="00C0282B">
        <w:rPr>
          <w:sz w:val="24"/>
          <w:szCs w:val="24"/>
        </w:rPr>
        <w:t>Data of third-party service providers and vendors</w:t>
      </w:r>
    </w:p>
    <w:p w14:paraId="52A4B9D1" w14:textId="77777777" w:rsidR="00C0282B" w:rsidRPr="00C0282B" w:rsidRDefault="00C0282B" w:rsidP="00C0282B">
      <w:pPr>
        <w:pStyle w:val="NormalWeb"/>
        <w:rPr>
          <w:rFonts w:ascii="Arial" w:hAnsi="Arial" w:cs="Arial"/>
        </w:rPr>
      </w:pPr>
      <w:r w:rsidRPr="00C0282B">
        <w:rPr>
          <w:rFonts w:ascii="Arial" w:hAnsi="Arial" w:cs="Arial"/>
        </w:rPr>
        <w:t>It covers personal data in all formats, including electronic records, paper documents, emails, and other communication records.</w:t>
      </w:r>
    </w:p>
    <w:p w14:paraId="1479681C" w14:textId="77777777" w:rsidR="00C0282B" w:rsidRPr="00C0282B" w:rsidRDefault="00C0282B" w:rsidP="00C0282B">
      <w:pPr>
        <w:pStyle w:val="Heading2"/>
        <w:rPr>
          <w:rFonts w:ascii="Arial" w:hAnsi="Arial" w:cs="Arial"/>
          <w:sz w:val="24"/>
          <w:szCs w:val="24"/>
        </w:rPr>
      </w:pPr>
      <w:r w:rsidRPr="00C0282B">
        <w:rPr>
          <w:rFonts w:ascii="Arial" w:hAnsi="Arial" w:cs="Arial"/>
          <w:sz w:val="24"/>
          <w:szCs w:val="24"/>
        </w:rPr>
        <w:t>3. Policy Statement</w:t>
      </w:r>
    </w:p>
    <w:p w14:paraId="109BC434" w14:textId="77777777" w:rsidR="00C0282B" w:rsidRPr="00C0282B" w:rsidRDefault="00C0282B" w:rsidP="00C0282B">
      <w:pPr>
        <w:pStyle w:val="NormalWeb"/>
        <w:rPr>
          <w:rFonts w:ascii="Arial" w:hAnsi="Arial" w:cs="Arial"/>
        </w:rPr>
      </w:pPr>
      <w:r w:rsidRPr="00C0282B">
        <w:rPr>
          <w:rFonts w:ascii="Arial" w:hAnsi="Arial" w:cs="Arial"/>
        </w:rPr>
        <w:t>The Firm is committed to retaining personal data only for as long as necessary for the purposes for which it was collected, or as required by applicable laws, regulations, or professional standards. Once the retention period has expired, personal data shall be securely destroyed or anonymized in accordance with this policy.</w:t>
      </w:r>
    </w:p>
    <w:p w14:paraId="42C2C40D" w14:textId="77777777" w:rsidR="00C0282B" w:rsidRPr="00C0282B" w:rsidRDefault="00C0282B" w:rsidP="00C0282B">
      <w:pPr>
        <w:pStyle w:val="Heading2"/>
        <w:rPr>
          <w:rFonts w:ascii="Arial" w:hAnsi="Arial" w:cs="Arial"/>
          <w:sz w:val="24"/>
          <w:szCs w:val="24"/>
        </w:rPr>
      </w:pPr>
      <w:r w:rsidRPr="00C0282B">
        <w:rPr>
          <w:rFonts w:ascii="Arial" w:hAnsi="Arial" w:cs="Arial"/>
          <w:sz w:val="24"/>
          <w:szCs w:val="24"/>
        </w:rPr>
        <w:t>4. Roles and Responsibilities</w:t>
      </w:r>
    </w:p>
    <w:p w14:paraId="44E7F34D" w14:textId="77777777" w:rsidR="00C0282B" w:rsidRPr="00C0282B" w:rsidRDefault="00C0282B" w:rsidP="00C0282B">
      <w:pPr>
        <w:pStyle w:val="Heading3"/>
        <w:rPr>
          <w:rFonts w:cs="Arial"/>
          <w:sz w:val="24"/>
          <w:szCs w:val="24"/>
        </w:rPr>
      </w:pPr>
      <w:r w:rsidRPr="00C0282B">
        <w:rPr>
          <w:rFonts w:cs="Arial"/>
          <w:sz w:val="24"/>
          <w:szCs w:val="24"/>
        </w:rPr>
        <w:t>4.1 Data Protection Officer</w:t>
      </w:r>
    </w:p>
    <w:p w14:paraId="116D9CE1" w14:textId="77777777" w:rsidR="00C0282B" w:rsidRPr="00C0282B" w:rsidRDefault="00C0282B" w:rsidP="00C0282B">
      <w:pPr>
        <w:numPr>
          <w:ilvl w:val="0"/>
          <w:numId w:val="20"/>
        </w:numPr>
        <w:spacing w:before="100" w:beforeAutospacing="1" w:after="100" w:afterAutospacing="1" w:line="240" w:lineRule="auto"/>
        <w:rPr>
          <w:sz w:val="24"/>
          <w:szCs w:val="24"/>
        </w:rPr>
      </w:pPr>
      <w:r w:rsidRPr="00C0282B">
        <w:rPr>
          <w:sz w:val="24"/>
          <w:szCs w:val="24"/>
        </w:rPr>
        <w:t>Overall responsibility for compliance with this policy</w:t>
      </w:r>
    </w:p>
    <w:p w14:paraId="3528174A" w14:textId="77777777" w:rsidR="00C0282B" w:rsidRPr="00C0282B" w:rsidRDefault="00C0282B" w:rsidP="00C0282B">
      <w:pPr>
        <w:numPr>
          <w:ilvl w:val="0"/>
          <w:numId w:val="20"/>
        </w:numPr>
        <w:spacing w:before="100" w:beforeAutospacing="1" w:after="100" w:afterAutospacing="1" w:line="240" w:lineRule="auto"/>
        <w:rPr>
          <w:sz w:val="24"/>
          <w:szCs w:val="24"/>
        </w:rPr>
      </w:pPr>
      <w:r w:rsidRPr="00C0282B">
        <w:rPr>
          <w:sz w:val="24"/>
          <w:szCs w:val="24"/>
        </w:rPr>
        <w:t>Regular review and update of retention schedules</w:t>
      </w:r>
    </w:p>
    <w:p w14:paraId="5E124A85" w14:textId="77777777" w:rsidR="00C0282B" w:rsidRPr="00C0282B" w:rsidRDefault="00C0282B" w:rsidP="00C0282B">
      <w:pPr>
        <w:numPr>
          <w:ilvl w:val="0"/>
          <w:numId w:val="20"/>
        </w:numPr>
        <w:spacing w:before="100" w:beforeAutospacing="1" w:after="100" w:afterAutospacing="1" w:line="240" w:lineRule="auto"/>
        <w:rPr>
          <w:sz w:val="24"/>
          <w:szCs w:val="24"/>
        </w:rPr>
      </w:pPr>
      <w:r w:rsidRPr="00C0282B">
        <w:rPr>
          <w:sz w:val="24"/>
          <w:szCs w:val="24"/>
        </w:rPr>
        <w:t>Approval of exceptions to standard retention periods</w:t>
      </w:r>
    </w:p>
    <w:p w14:paraId="7EC1CBF2" w14:textId="77777777" w:rsidR="00C0282B" w:rsidRPr="00C0282B" w:rsidRDefault="00C0282B" w:rsidP="00C0282B">
      <w:pPr>
        <w:numPr>
          <w:ilvl w:val="0"/>
          <w:numId w:val="20"/>
        </w:numPr>
        <w:spacing w:before="100" w:beforeAutospacing="1" w:after="100" w:afterAutospacing="1" w:line="240" w:lineRule="auto"/>
        <w:rPr>
          <w:sz w:val="24"/>
          <w:szCs w:val="24"/>
        </w:rPr>
      </w:pPr>
      <w:r w:rsidRPr="00C0282B">
        <w:rPr>
          <w:sz w:val="24"/>
          <w:szCs w:val="24"/>
        </w:rPr>
        <w:t>Oversight of data destruction processes</w:t>
      </w:r>
    </w:p>
    <w:p w14:paraId="6BB9F7E0" w14:textId="77777777" w:rsidR="00C0282B" w:rsidRPr="00C0282B" w:rsidRDefault="00C0282B" w:rsidP="00C0282B">
      <w:pPr>
        <w:numPr>
          <w:ilvl w:val="0"/>
          <w:numId w:val="20"/>
        </w:numPr>
        <w:spacing w:before="100" w:beforeAutospacing="1" w:after="100" w:afterAutospacing="1" w:line="240" w:lineRule="auto"/>
        <w:rPr>
          <w:sz w:val="24"/>
          <w:szCs w:val="24"/>
        </w:rPr>
      </w:pPr>
      <w:r w:rsidRPr="00C0282B">
        <w:rPr>
          <w:sz w:val="24"/>
          <w:szCs w:val="24"/>
        </w:rPr>
        <w:t>Liaison with regulatory authorities regarding retention matters</w:t>
      </w:r>
    </w:p>
    <w:p w14:paraId="58673B0B" w14:textId="77777777" w:rsidR="00C0282B" w:rsidRPr="00C0282B" w:rsidRDefault="00C0282B" w:rsidP="00C0282B">
      <w:pPr>
        <w:pStyle w:val="Heading3"/>
        <w:rPr>
          <w:rFonts w:cs="Arial"/>
          <w:sz w:val="24"/>
          <w:szCs w:val="24"/>
        </w:rPr>
      </w:pPr>
      <w:r w:rsidRPr="00C0282B">
        <w:rPr>
          <w:rFonts w:cs="Arial"/>
          <w:sz w:val="24"/>
          <w:szCs w:val="24"/>
        </w:rPr>
        <w:t>4.2 Department Heads</w:t>
      </w:r>
    </w:p>
    <w:p w14:paraId="0B50F9C7" w14:textId="77777777" w:rsidR="00C0282B" w:rsidRPr="00C0282B" w:rsidRDefault="00C0282B" w:rsidP="00C0282B">
      <w:pPr>
        <w:numPr>
          <w:ilvl w:val="0"/>
          <w:numId w:val="21"/>
        </w:numPr>
        <w:spacing w:before="100" w:beforeAutospacing="1" w:after="100" w:afterAutospacing="1" w:line="240" w:lineRule="auto"/>
        <w:rPr>
          <w:sz w:val="24"/>
          <w:szCs w:val="24"/>
        </w:rPr>
      </w:pPr>
      <w:r w:rsidRPr="00C0282B">
        <w:rPr>
          <w:sz w:val="24"/>
          <w:szCs w:val="24"/>
        </w:rPr>
        <w:t>Implementation of retention periods for their respective departments</w:t>
      </w:r>
    </w:p>
    <w:p w14:paraId="3C8B0688" w14:textId="77777777" w:rsidR="00C0282B" w:rsidRPr="00C0282B" w:rsidRDefault="00C0282B" w:rsidP="00C0282B">
      <w:pPr>
        <w:numPr>
          <w:ilvl w:val="0"/>
          <w:numId w:val="21"/>
        </w:numPr>
        <w:spacing w:before="100" w:beforeAutospacing="1" w:after="100" w:afterAutospacing="1" w:line="240" w:lineRule="auto"/>
        <w:rPr>
          <w:sz w:val="24"/>
          <w:szCs w:val="24"/>
        </w:rPr>
      </w:pPr>
      <w:r w:rsidRPr="00C0282B">
        <w:rPr>
          <w:sz w:val="24"/>
          <w:szCs w:val="24"/>
        </w:rPr>
        <w:t>Ensuring compliance with retention schedules</w:t>
      </w:r>
    </w:p>
    <w:p w14:paraId="3C8674EF" w14:textId="77777777" w:rsidR="00C0282B" w:rsidRPr="00C0282B" w:rsidRDefault="00C0282B" w:rsidP="00C0282B">
      <w:pPr>
        <w:numPr>
          <w:ilvl w:val="0"/>
          <w:numId w:val="21"/>
        </w:numPr>
        <w:spacing w:before="100" w:beforeAutospacing="1" w:after="100" w:afterAutospacing="1" w:line="240" w:lineRule="auto"/>
        <w:rPr>
          <w:sz w:val="24"/>
          <w:szCs w:val="24"/>
        </w:rPr>
      </w:pPr>
      <w:r w:rsidRPr="00C0282B">
        <w:rPr>
          <w:sz w:val="24"/>
          <w:szCs w:val="24"/>
        </w:rPr>
        <w:t>Coordination of periodic data clean-up operations</w:t>
      </w:r>
    </w:p>
    <w:p w14:paraId="0D40D363" w14:textId="77777777" w:rsidR="00C0282B" w:rsidRPr="00C0282B" w:rsidRDefault="00C0282B" w:rsidP="00C0282B">
      <w:pPr>
        <w:numPr>
          <w:ilvl w:val="0"/>
          <w:numId w:val="21"/>
        </w:numPr>
        <w:spacing w:before="100" w:beforeAutospacing="1" w:after="100" w:afterAutospacing="1" w:line="240" w:lineRule="auto"/>
        <w:rPr>
          <w:sz w:val="24"/>
          <w:szCs w:val="24"/>
        </w:rPr>
      </w:pPr>
      <w:r w:rsidRPr="00C0282B">
        <w:rPr>
          <w:sz w:val="24"/>
          <w:szCs w:val="24"/>
        </w:rPr>
        <w:lastRenderedPageBreak/>
        <w:t>Training staff on retention requirements</w:t>
      </w:r>
    </w:p>
    <w:p w14:paraId="0AFA3949" w14:textId="77777777" w:rsidR="00C0282B" w:rsidRPr="00C0282B" w:rsidRDefault="00C0282B" w:rsidP="00C0282B">
      <w:pPr>
        <w:numPr>
          <w:ilvl w:val="0"/>
          <w:numId w:val="21"/>
        </w:numPr>
        <w:spacing w:before="100" w:beforeAutospacing="1" w:after="100" w:afterAutospacing="1" w:line="240" w:lineRule="auto"/>
        <w:rPr>
          <w:sz w:val="24"/>
          <w:szCs w:val="24"/>
        </w:rPr>
      </w:pPr>
      <w:r w:rsidRPr="00C0282B">
        <w:rPr>
          <w:sz w:val="24"/>
          <w:szCs w:val="24"/>
        </w:rPr>
        <w:t>Reporting retention issues to the Data Protection Officer</w:t>
      </w:r>
    </w:p>
    <w:p w14:paraId="3C746176" w14:textId="77777777" w:rsidR="00C0282B" w:rsidRPr="00C0282B" w:rsidRDefault="00C0282B" w:rsidP="00C0282B">
      <w:pPr>
        <w:pStyle w:val="Heading3"/>
        <w:rPr>
          <w:rFonts w:cs="Arial"/>
          <w:sz w:val="24"/>
          <w:szCs w:val="24"/>
        </w:rPr>
      </w:pPr>
      <w:r w:rsidRPr="00C0282B">
        <w:rPr>
          <w:rFonts w:cs="Arial"/>
          <w:sz w:val="24"/>
          <w:szCs w:val="24"/>
        </w:rPr>
        <w:t>4.3 IT Department</w:t>
      </w:r>
    </w:p>
    <w:p w14:paraId="57CBD1B2" w14:textId="77777777" w:rsidR="00C0282B" w:rsidRPr="00C0282B" w:rsidRDefault="00C0282B" w:rsidP="00C0282B">
      <w:pPr>
        <w:numPr>
          <w:ilvl w:val="0"/>
          <w:numId w:val="22"/>
        </w:numPr>
        <w:spacing w:before="100" w:beforeAutospacing="1" w:after="100" w:afterAutospacing="1" w:line="240" w:lineRule="auto"/>
        <w:rPr>
          <w:sz w:val="24"/>
          <w:szCs w:val="24"/>
        </w:rPr>
      </w:pPr>
      <w:r w:rsidRPr="00C0282B">
        <w:rPr>
          <w:sz w:val="24"/>
          <w:szCs w:val="24"/>
        </w:rPr>
        <w:t>Implementation of technical solutions for automatic archiving and deletion</w:t>
      </w:r>
    </w:p>
    <w:p w14:paraId="41386DBC" w14:textId="77777777" w:rsidR="00C0282B" w:rsidRPr="00C0282B" w:rsidRDefault="00C0282B" w:rsidP="00C0282B">
      <w:pPr>
        <w:numPr>
          <w:ilvl w:val="0"/>
          <w:numId w:val="22"/>
        </w:numPr>
        <w:spacing w:before="100" w:beforeAutospacing="1" w:after="100" w:afterAutospacing="1" w:line="240" w:lineRule="auto"/>
        <w:rPr>
          <w:sz w:val="24"/>
          <w:szCs w:val="24"/>
        </w:rPr>
      </w:pPr>
      <w:r w:rsidRPr="00C0282B">
        <w:rPr>
          <w:sz w:val="24"/>
          <w:szCs w:val="24"/>
        </w:rPr>
        <w:t>Secure destruction of electronic data</w:t>
      </w:r>
    </w:p>
    <w:p w14:paraId="2CD6977F" w14:textId="77777777" w:rsidR="00C0282B" w:rsidRPr="00C0282B" w:rsidRDefault="00C0282B" w:rsidP="00C0282B">
      <w:pPr>
        <w:numPr>
          <w:ilvl w:val="0"/>
          <w:numId w:val="22"/>
        </w:numPr>
        <w:spacing w:before="100" w:beforeAutospacing="1" w:after="100" w:afterAutospacing="1" w:line="240" w:lineRule="auto"/>
        <w:rPr>
          <w:sz w:val="24"/>
          <w:szCs w:val="24"/>
        </w:rPr>
      </w:pPr>
      <w:r w:rsidRPr="00C0282B">
        <w:rPr>
          <w:sz w:val="24"/>
          <w:szCs w:val="24"/>
        </w:rPr>
        <w:t>Maintenance of destruction logs and certificates</w:t>
      </w:r>
    </w:p>
    <w:p w14:paraId="3F7EA094" w14:textId="77777777" w:rsidR="00C0282B" w:rsidRPr="00C0282B" w:rsidRDefault="00C0282B" w:rsidP="00C0282B">
      <w:pPr>
        <w:numPr>
          <w:ilvl w:val="0"/>
          <w:numId w:val="22"/>
        </w:numPr>
        <w:spacing w:before="100" w:beforeAutospacing="1" w:after="100" w:afterAutospacing="1" w:line="240" w:lineRule="auto"/>
        <w:rPr>
          <w:sz w:val="24"/>
          <w:szCs w:val="24"/>
        </w:rPr>
      </w:pPr>
      <w:r w:rsidRPr="00C0282B">
        <w:rPr>
          <w:sz w:val="24"/>
          <w:szCs w:val="24"/>
        </w:rPr>
        <w:t>Regular backup system purging</w:t>
      </w:r>
    </w:p>
    <w:p w14:paraId="77E32581" w14:textId="77777777" w:rsidR="00C0282B" w:rsidRPr="00C0282B" w:rsidRDefault="00C0282B" w:rsidP="00C0282B">
      <w:pPr>
        <w:numPr>
          <w:ilvl w:val="0"/>
          <w:numId w:val="22"/>
        </w:numPr>
        <w:spacing w:before="100" w:beforeAutospacing="1" w:after="100" w:afterAutospacing="1" w:line="240" w:lineRule="auto"/>
        <w:rPr>
          <w:sz w:val="24"/>
          <w:szCs w:val="24"/>
        </w:rPr>
      </w:pPr>
      <w:r w:rsidRPr="00C0282B">
        <w:rPr>
          <w:sz w:val="24"/>
          <w:szCs w:val="24"/>
        </w:rPr>
        <w:t>Technical support for data retrieval and restoration</w:t>
      </w:r>
    </w:p>
    <w:p w14:paraId="6022BA9A" w14:textId="77777777" w:rsidR="00C0282B" w:rsidRPr="00C0282B" w:rsidRDefault="00C0282B" w:rsidP="00C0282B">
      <w:pPr>
        <w:pStyle w:val="Heading3"/>
        <w:rPr>
          <w:rFonts w:cs="Arial"/>
          <w:sz w:val="24"/>
          <w:szCs w:val="24"/>
        </w:rPr>
      </w:pPr>
      <w:r w:rsidRPr="00C0282B">
        <w:rPr>
          <w:rFonts w:cs="Arial"/>
          <w:sz w:val="24"/>
          <w:szCs w:val="24"/>
        </w:rPr>
        <w:t>4.4 All Staff</w:t>
      </w:r>
    </w:p>
    <w:p w14:paraId="2F5D7FA3" w14:textId="77777777" w:rsidR="00C0282B" w:rsidRPr="00C0282B" w:rsidRDefault="00C0282B" w:rsidP="00C0282B">
      <w:pPr>
        <w:numPr>
          <w:ilvl w:val="0"/>
          <w:numId w:val="23"/>
        </w:numPr>
        <w:spacing w:before="100" w:beforeAutospacing="1" w:after="100" w:afterAutospacing="1" w:line="240" w:lineRule="auto"/>
        <w:rPr>
          <w:sz w:val="24"/>
          <w:szCs w:val="24"/>
        </w:rPr>
      </w:pPr>
      <w:r w:rsidRPr="00C0282B">
        <w:rPr>
          <w:sz w:val="24"/>
          <w:szCs w:val="24"/>
        </w:rPr>
        <w:t>Adherence to retention schedules</w:t>
      </w:r>
    </w:p>
    <w:p w14:paraId="30F653F4" w14:textId="77777777" w:rsidR="00C0282B" w:rsidRPr="00C0282B" w:rsidRDefault="00C0282B" w:rsidP="00C0282B">
      <w:pPr>
        <w:numPr>
          <w:ilvl w:val="0"/>
          <w:numId w:val="23"/>
        </w:numPr>
        <w:spacing w:before="100" w:beforeAutospacing="1" w:after="100" w:afterAutospacing="1" w:line="240" w:lineRule="auto"/>
        <w:rPr>
          <w:sz w:val="24"/>
          <w:szCs w:val="24"/>
        </w:rPr>
      </w:pPr>
      <w:r w:rsidRPr="00C0282B">
        <w:rPr>
          <w:sz w:val="24"/>
          <w:szCs w:val="24"/>
        </w:rPr>
        <w:t>Proper classification of documents and data</w:t>
      </w:r>
    </w:p>
    <w:p w14:paraId="74FF72E8" w14:textId="77777777" w:rsidR="00C0282B" w:rsidRPr="00C0282B" w:rsidRDefault="00C0282B" w:rsidP="00C0282B">
      <w:pPr>
        <w:numPr>
          <w:ilvl w:val="0"/>
          <w:numId w:val="23"/>
        </w:numPr>
        <w:spacing w:before="100" w:beforeAutospacing="1" w:after="100" w:afterAutospacing="1" w:line="240" w:lineRule="auto"/>
        <w:rPr>
          <w:sz w:val="24"/>
          <w:szCs w:val="24"/>
        </w:rPr>
      </w:pPr>
      <w:r w:rsidRPr="00C0282B">
        <w:rPr>
          <w:sz w:val="24"/>
          <w:szCs w:val="24"/>
        </w:rPr>
        <w:t>Reporting retention issues to the Data Protection Officer</w:t>
      </w:r>
    </w:p>
    <w:p w14:paraId="06E82220" w14:textId="77777777" w:rsidR="00C0282B" w:rsidRPr="00C0282B" w:rsidRDefault="00C0282B" w:rsidP="00C0282B">
      <w:pPr>
        <w:numPr>
          <w:ilvl w:val="0"/>
          <w:numId w:val="23"/>
        </w:numPr>
        <w:spacing w:before="100" w:beforeAutospacing="1" w:after="100" w:afterAutospacing="1" w:line="240" w:lineRule="auto"/>
        <w:rPr>
          <w:sz w:val="24"/>
          <w:szCs w:val="24"/>
        </w:rPr>
      </w:pPr>
      <w:r w:rsidRPr="00C0282B">
        <w:rPr>
          <w:sz w:val="24"/>
          <w:szCs w:val="24"/>
        </w:rPr>
        <w:t>Participation in training programs</w:t>
      </w:r>
    </w:p>
    <w:p w14:paraId="1271D210" w14:textId="77777777" w:rsidR="00C0282B" w:rsidRPr="00C0282B" w:rsidRDefault="00C0282B" w:rsidP="00C0282B">
      <w:pPr>
        <w:numPr>
          <w:ilvl w:val="0"/>
          <w:numId w:val="23"/>
        </w:numPr>
        <w:spacing w:before="100" w:beforeAutospacing="1" w:after="100" w:afterAutospacing="1" w:line="240" w:lineRule="auto"/>
        <w:rPr>
          <w:sz w:val="24"/>
          <w:szCs w:val="24"/>
        </w:rPr>
      </w:pPr>
      <w:r w:rsidRPr="00C0282B">
        <w:rPr>
          <w:sz w:val="24"/>
          <w:szCs w:val="24"/>
        </w:rPr>
        <w:t>Compliance with data handling procedures</w:t>
      </w:r>
    </w:p>
    <w:p w14:paraId="33945846" w14:textId="77777777" w:rsidR="00C0282B" w:rsidRPr="00C0282B" w:rsidRDefault="00C0282B" w:rsidP="00C0282B">
      <w:pPr>
        <w:pStyle w:val="Heading2"/>
        <w:rPr>
          <w:rFonts w:ascii="Arial" w:hAnsi="Arial" w:cs="Arial"/>
          <w:sz w:val="24"/>
          <w:szCs w:val="24"/>
        </w:rPr>
      </w:pPr>
      <w:r w:rsidRPr="00C0282B">
        <w:rPr>
          <w:rFonts w:ascii="Arial" w:hAnsi="Arial" w:cs="Arial"/>
          <w:sz w:val="24"/>
          <w:szCs w:val="24"/>
        </w:rPr>
        <w:t>5. Retention Periods</w:t>
      </w:r>
    </w:p>
    <w:p w14:paraId="5D0B5290" w14:textId="77777777" w:rsidR="00C0282B" w:rsidRPr="00C0282B" w:rsidRDefault="00C0282B" w:rsidP="00C0282B">
      <w:pPr>
        <w:pStyle w:val="Heading3"/>
        <w:rPr>
          <w:rFonts w:cs="Arial"/>
          <w:sz w:val="24"/>
          <w:szCs w:val="24"/>
        </w:rPr>
      </w:pPr>
      <w:r w:rsidRPr="00C0282B">
        <w:rPr>
          <w:rFonts w:cs="Arial"/>
          <w:sz w:val="24"/>
          <w:szCs w:val="24"/>
        </w:rPr>
        <w:t>5.1 Client Data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2"/>
        <w:gridCol w:w="2660"/>
        <w:gridCol w:w="3254"/>
      </w:tblGrid>
      <w:tr w:rsidR="00C0282B" w:rsidRPr="00C0282B" w14:paraId="4A39CD44" w14:textId="77777777" w:rsidTr="00C0282B">
        <w:trPr>
          <w:tblHeader/>
          <w:tblCellSpacing w:w="15" w:type="dxa"/>
        </w:trPr>
        <w:tc>
          <w:tcPr>
            <w:tcW w:w="0" w:type="auto"/>
            <w:vAlign w:val="center"/>
            <w:hideMark/>
          </w:tcPr>
          <w:p w14:paraId="166B560D" w14:textId="77777777" w:rsidR="00C0282B" w:rsidRPr="00C0282B" w:rsidRDefault="00C0282B">
            <w:pPr>
              <w:jc w:val="center"/>
              <w:rPr>
                <w:b/>
                <w:bCs/>
                <w:sz w:val="24"/>
                <w:szCs w:val="24"/>
              </w:rPr>
            </w:pPr>
            <w:r w:rsidRPr="00C0282B">
              <w:rPr>
                <w:rStyle w:val="Strong"/>
                <w:sz w:val="24"/>
                <w:szCs w:val="24"/>
              </w:rPr>
              <w:t>Category</w:t>
            </w:r>
          </w:p>
        </w:tc>
        <w:tc>
          <w:tcPr>
            <w:tcW w:w="0" w:type="auto"/>
            <w:vAlign w:val="center"/>
            <w:hideMark/>
          </w:tcPr>
          <w:p w14:paraId="2ED0EE3D" w14:textId="77777777" w:rsidR="00C0282B" w:rsidRPr="00C0282B" w:rsidRDefault="00C0282B">
            <w:pPr>
              <w:jc w:val="center"/>
              <w:rPr>
                <w:b/>
                <w:bCs/>
                <w:sz w:val="24"/>
                <w:szCs w:val="24"/>
              </w:rPr>
            </w:pPr>
            <w:r w:rsidRPr="00C0282B">
              <w:rPr>
                <w:rStyle w:val="Strong"/>
                <w:sz w:val="24"/>
                <w:szCs w:val="24"/>
              </w:rPr>
              <w:t>Retention Period</w:t>
            </w:r>
          </w:p>
        </w:tc>
        <w:tc>
          <w:tcPr>
            <w:tcW w:w="0" w:type="auto"/>
            <w:vAlign w:val="center"/>
            <w:hideMark/>
          </w:tcPr>
          <w:p w14:paraId="205078DF" w14:textId="77777777" w:rsidR="00C0282B" w:rsidRPr="00C0282B" w:rsidRDefault="00C0282B">
            <w:pPr>
              <w:jc w:val="center"/>
              <w:rPr>
                <w:b/>
                <w:bCs/>
                <w:sz w:val="24"/>
                <w:szCs w:val="24"/>
              </w:rPr>
            </w:pPr>
            <w:r w:rsidRPr="00C0282B">
              <w:rPr>
                <w:rStyle w:val="Strong"/>
                <w:sz w:val="24"/>
                <w:szCs w:val="24"/>
              </w:rPr>
              <w:t>Trigger for Retention Period</w:t>
            </w:r>
          </w:p>
        </w:tc>
      </w:tr>
      <w:tr w:rsidR="00C0282B" w:rsidRPr="00C0282B" w14:paraId="16FE55ED" w14:textId="77777777" w:rsidTr="00C0282B">
        <w:trPr>
          <w:tblCellSpacing w:w="15" w:type="dxa"/>
        </w:trPr>
        <w:tc>
          <w:tcPr>
            <w:tcW w:w="0" w:type="auto"/>
            <w:vAlign w:val="center"/>
            <w:hideMark/>
          </w:tcPr>
          <w:p w14:paraId="268483C5" w14:textId="77777777" w:rsidR="00C0282B" w:rsidRPr="00C0282B" w:rsidRDefault="00C0282B">
            <w:pPr>
              <w:rPr>
                <w:sz w:val="24"/>
                <w:szCs w:val="24"/>
              </w:rPr>
            </w:pPr>
            <w:r w:rsidRPr="00C0282B">
              <w:rPr>
                <w:sz w:val="24"/>
                <w:szCs w:val="24"/>
              </w:rPr>
              <w:t>Client identification and KYC data</w:t>
            </w:r>
          </w:p>
        </w:tc>
        <w:tc>
          <w:tcPr>
            <w:tcW w:w="0" w:type="auto"/>
            <w:vAlign w:val="center"/>
            <w:hideMark/>
          </w:tcPr>
          <w:p w14:paraId="44BFDCC8" w14:textId="77777777" w:rsidR="00C0282B" w:rsidRPr="00C0282B" w:rsidRDefault="00C0282B">
            <w:pPr>
              <w:rPr>
                <w:sz w:val="24"/>
                <w:szCs w:val="24"/>
              </w:rPr>
            </w:pPr>
            <w:r w:rsidRPr="00C0282B">
              <w:rPr>
                <w:sz w:val="24"/>
                <w:szCs w:val="24"/>
              </w:rPr>
              <w:t>7 years</w:t>
            </w:r>
          </w:p>
        </w:tc>
        <w:tc>
          <w:tcPr>
            <w:tcW w:w="0" w:type="auto"/>
            <w:vAlign w:val="center"/>
            <w:hideMark/>
          </w:tcPr>
          <w:p w14:paraId="0F85B1B0" w14:textId="77777777" w:rsidR="00C0282B" w:rsidRPr="00C0282B" w:rsidRDefault="00C0282B">
            <w:pPr>
              <w:rPr>
                <w:sz w:val="24"/>
                <w:szCs w:val="24"/>
              </w:rPr>
            </w:pPr>
            <w:r w:rsidRPr="00C0282B">
              <w:rPr>
                <w:sz w:val="24"/>
                <w:szCs w:val="24"/>
              </w:rPr>
              <w:t>From end of client relationship</w:t>
            </w:r>
          </w:p>
        </w:tc>
      </w:tr>
      <w:tr w:rsidR="00C0282B" w:rsidRPr="00C0282B" w14:paraId="5115E394" w14:textId="77777777" w:rsidTr="00C0282B">
        <w:trPr>
          <w:tblCellSpacing w:w="15" w:type="dxa"/>
        </w:trPr>
        <w:tc>
          <w:tcPr>
            <w:tcW w:w="0" w:type="auto"/>
            <w:vAlign w:val="center"/>
            <w:hideMark/>
          </w:tcPr>
          <w:p w14:paraId="36332649" w14:textId="77777777" w:rsidR="00C0282B" w:rsidRPr="00C0282B" w:rsidRDefault="00C0282B">
            <w:pPr>
              <w:rPr>
                <w:sz w:val="24"/>
                <w:szCs w:val="24"/>
              </w:rPr>
            </w:pPr>
            <w:r w:rsidRPr="00C0282B">
              <w:rPr>
                <w:sz w:val="24"/>
                <w:szCs w:val="24"/>
              </w:rPr>
              <w:t>Engagement/matter files</w:t>
            </w:r>
          </w:p>
        </w:tc>
        <w:tc>
          <w:tcPr>
            <w:tcW w:w="0" w:type="auto"/>
            <w:vAlign w:val="center"/>
            <w:hideMark/>
          </w:tcPr>
          <w:p w14:paraId="63509968" w14:textId="77777777" w:rsidR="00C0282B" w:rsidRPr="00C0282B" w:rsidRDefault="00C0282B">
            <w:pPr>
              <w:rPr>
                <w:sz w:val="24"/>
                <w:szCs w:val="24"/>
              </w:rPr>
            </w:pPr>
            <w:r w:rsidRPr="00C0282B">
              <w:rPr>
                <w:sz w:val="24"/>
                <w:szCs w:val="24"/>
              </w:rPr>
              <w:t>7 years</w:t>
            </w:r>
          </w:p>
        </w:tc>
        <w:tc>
          <w:tcPr>
            <w:tcW w:w="0" w:type="auto"/>
            <w:vAlign w:val="center"/>
            <w:hideMark/>
          </w:tcPr>
          <w:p w14:paraId="261A1149" w14:textId="77777777" w:rsidR="00C0282B" w:rsidRPr="00C0282B" w:rsidRDefault="00C0282B">
            <w:pPr>
              <w:rPr>
                <w:sz w:val="24"/>
                <w:szCs w:val="24"/>
              </w:rPr>
            </w:pPr>
            <w:r w:rsidRPr="00C0282B">
              <w:rPr>
                <w:sz w:val="24"/>
                <w:szCs w:val="24"/>
              </w:rPr>
              <w:t>From closure of matter/engagement</w:t>
            </w:r>
          </w:p>
        </w:tc>
      </w:tr>
      <w:tr w:rsidR="00C0282B" w:rsidRPr="00C0282B" w14:paraId="0D6B2B65" w14:textId="77777777" w:rsidTr="00C0282B">
        <w:trPr>
          <w:tblCellSpacing w:w="15" w:type="dxa"/>
        </w:trPr>
        <w:tc>
          <w:tcPr>
            <w:tcW w:w="0" w:type="auto"/>
            <w:vAlign w:val="center"/>
            <w:hideMark/>
          </w:tcPr>
          <w:p w14:paraId="4FC8783C" w14:textId="77777777" w:rsidR="00C0282B" w:rsidRPr="00C0282B" w:rsidRDefault="00C0282B">
            <w:pPr>
              <w:rPr>
                <w:sz w:val="24"/>
                <w:szCs w:val="24"/>
              </w:rPr>
            </w:pPr>
            <w:r w:rsidRPr="00C0282B">
              <w:rPr>
                <w:sz w:val="24"/>
                <w:szCs w:val="24"/>
              </w:rPr>
              <w:t>Billing and financial records</w:t>
            </w:r>
          </w:p>
        </w:tc>
        <w:tc>
          <w:tcPr>
            <w:tcW w:w="0" w:type="auto"/>
            <w:vAlign w:val="center"/>
            <w:hideMark/>
          </w:tcPr>
          <w:p w14:paraId="58B97CF9" w14:textId="77777777" w:rsidR="00C0282B" w:rsidRPr="00C0282B" w:rsidRDefault="00C0282B">
            <w:pPr>
              <w:rPr>
                <w:sz w:val="24"/>
                <w:szCs w:val="24"/>
              </w:rPr>
            </w:pPr>
            <w:r w:rsidRPr="00C0282B">
              <w:rPr>
                <w:sz w:val="24"/>
                <w:szCs w:val="24"/>
              </w:rPr>
              <w:t>7 years</w:t>
            </w:r>
          </w:p>
        </w:tc>
        <w:tc>
          <w:tcPr>
            <w:tcW w:w="0" w:type="auto"/>
            <w:vAlign w:val="center"/>
            <w:hideMark/>
          </w:tcPr>
          <w:p w14:paraId="5EFC3ADD" w14:textId="77777777" w:rsidR="00C0282B" w:rsidRPr="00C0282B" w:rsidRDefault="00C0282B">
            <w:pPr>
              <w:rPr>
                <w:sz w:val="24"/>
                <w:szCs w:val="24"/>
              </w:rPr>
            </w:pPr>
            <w:r w:rsidRPr="00C0282B">
              <w:rPr>
                <w:sz w:val="24"/>
                <w:szCs w:val="24"/>
              </w:rPr>
              <w:t>From end of financial year</w:t>
            </w:r>
          </w:p>
        </w:tc>
      </w:tr>
      <w:tr w:rsidR="00C0282B" w:rsidRPr="00C0282B" w14:paraId="78BFFAA7" w14:textId="77777777" w:rsidTr="00C0282B">
        <w:trPr>
          <w:tblCellSpacing w:w="15" w:type="dxa"/>
        </w:trPr>
        <w:tc>
          <w:tcPr>
            <w:tcW w:w="0" w:type="auto"/>
            <w:vAlign w:val="center"/>
            <w:hideMark/>
          </w:tcPr>
          <w:p w14:paraId="636C85E0" w14:textId="77777777" w:rsidR="00C0282B" w:rsidRPr="00C0282B" w:rsidRDefault="00C0282B">
            <w:pPr>
              <w:rPr>
                <w:sz w:val="24"/>
                <w:szCs w:val="24"/>
              </w:rPr>
            </w:pPr>
            <w:r w:rsidRPr="00C0282B">
              <w:rPr>
                <w:sz w:val="24"/>
                <w:szCs w:val="24"/>
              </w:rPr>
              <w:t>Client communications</w:t>
            </w:r>
          </w:p>
        </w:tc>
        <w:tc>
          <w:tcPr>
            <w:tcW w:w="0" w:type="auto"/>
            <w:vAlign w:val="center"/>
            <w:hideMark/>
          </w:tcPr>
          <w:p w14:paraId="5558C774" w14:textId="77777777" w:rsidR="00C0282B" w:rsidRPr="00C0282B" w:rsidRDefault="00C0282B">
            <w:pPr>
              <w:rPr>
                <w:sz w:val="24"/>
                <w:szCs w:val="24"/>
              </w:rPr>
            </w:pPr>
            <w:r w:rsidRPr="00C0282B">
              <w:rPr>
                <w:sz w:val="24"/>
                <w:szCs w:val="24"/>
              </w:rPr>
              <w:t>6 years</w:t>
            </w:r>
          </w:p>
        </w:tc>
        <w:tc>
          <w:tcPr>
            <w:tcW w:w="0" w:type="auto"/>
            <w:vAlign w:val="center"/>
            <w:hideMark/>
          </w:tcPr>
          <w:p w14:paraId="49E88841" w14:textId="77777777" w:rsidR="00C0282B" w:rsidRPr="00C0282B" w:rsidRDefault="00C0282B">
            <w:pPr>
              <w:rPr>
                <w:sz w:val="24"/>
                <w:szCs w:val="24"/>
              </w:rPr>
            </w:pPr>
            <w:r w:rsidRPr="00C0282B">
              <w:rPr>
                <w:sz w:val="24"/>
                <w:szCs w:val="24"/>
              </w:rPr>
              <w:t>From date of communication</w:t>
            </w:r>
          </w:p>
        </w:tc>
      </w:tr>
      <w:tr w:rsidR="00C0282B" w:rsidRPr="00C0282B" w14:paraId="552890A8" w14:textId="77777777" w:rsidTr="00C0282B">
        <w:trPr>
          <w:tblCellSpacing w:w="15" w:type="dxa"/>
        </w:trPr>
        <w:tc>
          <w:tcPr>
            <w:tcW w:w="0" w:type="auto"/>
            <w:vAlign w:val="center"/>
            <w:hideMark/>
          </w:tcPr>
          <w:p w14:paraId="77FFDF16" w14:textId="77777777" w:rsidR="00C0282B" w:rsidRPr="00C0282B" w:rsidRDefault="00C0282B">
            <w:pPr>
              <w:rPr>
                <w:sz w:val="24"/>
                <w:szCs w:val="24"/>
              </w:rPr>
            </w:pPr>
            <w:r w:rsidRPr="00C0282B">
              <w:rPr>
                <w:sz w:val="24"/>
                <w:szCs w:val="24"/>
              </w:rPr>
              <w:t>Contracts and agreements</w:t>
            </w:r>
          </w:p>
        </w:tc>
        <w:tc>
          <w:tcPr>
            <w:tcW w:w="0" w:type="auto"/>
            <w:vAlign w:val="center"/>
            <w:hideMark/>
          </w:tcPr>
          <w:p w14:paraId="2E1E49F3" w14:textId="77777777" w:rsidR="00C0282B" w:rsidRPr="00C0282B" w:rsidRDefault="00C0282B">
            <w:pPr>
              <w:rPr>
                <w:sz w:val="24"/>
                <w:szCs w:val="24"/>
              </w:rPr>
            </w:pPr>
            <w:r w:rsidRPr="00C0282B">
              <w:rPr>
                <w:sz w:val="24"/>
                <w:szCs w:val="24"/>
              </w:rPr>
              <w:t>6 years</w:t>
            </w:r>
          </w:p>
        </w:tc>
        <w:tc>
          <w:tcPr>
            <w:tcW w:w="0" w:type="auto"/>
            <w:vAlign w:val="center"/>
            <w:hideMark/>
          </w:tcPr>
          <w:p w14:paraId="5B07CBF6" w14:textId="77777777" w:rsidR="00C0282B" w:rsidRPr="00C0282B" w:rsidRDefault="00C0282B">
            <w:pPr>
              <w:rPr>
                <w:sz w:val="24"/>
                <w:szCs w:val="24"/>
              </w:rPr>
            </w:pPr>
            <w:r w:rsidRPr="00C0282B">
              <w:rPr>
                <w:sz w:val="24"/>
                <w:szCs w:val="24"/>
              </w:rPr>
              <w:t>From contract expiry/termination</w:t>
            </w:r>
          </w:p>
        </w:tc>
      </w:tr>
      <w:tr w:rsidR="00C0282B" w:rsidRPr="00C0282B" w14:paraId="6AD51C38" w14:textId="77777777" w:rsidTr="00C0282B">
        <w:trPr>
          <w:tblCellSpacing w:w="15" w:type="dxa"/>
        </w:trPr>
        <w:tc>
          <w:tcPr>
            <w:tcW w:w="0" w:type="auto"/>
            <w:vAlign w:val="center"/>
            <w:hideMark/>
          </w:tcPr>
          <w:p w14:paraId="10425347" w14:textId="77777777" w:rsidR="00C0282B" w:rsidRPr="00C0282B" w:rsidRDefault="00C0282B">
            <w:pPr>
              <w:rPr>
                <w:sz w:val="24"/>
                <w:szCs w:val="24"/>
              </w:rPr>
            </w:pPr>
            <w:r w:rsidRPr="00C0282B">
              <w:rPr>
                <w:sz w:val="24"/>
                <w:szCs w:val="24"/>
              </w:rPr>
              <w:t>Special category data</w:t>
            </w:r>
          </w:p>
        </w:tc>
        <w:tc>
          <w:tcPr>
            <w:tcW w:w="0" w:type="auto"/>
            <w:vAlign w:val="center"/>
            <w:hideMark/>
          </w:tcPr>
          <w:p w14:paraId="5B8180E4" w14:textId="77777777" w:rsidR="00C0282B" w:rsidRPr="00C0282B" w:rsidRDefault="00C0282B">
            <w:pPr>
              <w:rPr>
                <w:sz w:val="24"/>
                <w:szCs w:val="24"/>
              </w:rPr>
            </w:pPr>
            <w:r w:rsidRPr="00C0282B">
              <w:rPr>
                <w:sz w:val="24"/>
                <w:szCs w:val="24"/>
              </w:rPr>
              <w:t>3 years</w:t>
            </w:r>
          </w:p>
        </w:tc>
        <w:tc>
          <w:tcPr>
            <w:tcW w:w="0" w:type="auto"/>
            <w:vAlign w:val="center"/>
            <w:hideMark/>
          </w:tcPr>
          <w:p w14:paraId="123A8A37" w14:textId="77777777" w:rsidR="00C0282B" w:rsidRPr="00C0282B" w:rsidRDefault="00C0282B">
            <w:pPr>
              <w:rPr>
                <w:sz w:val="24"/>
                <w:szCs w:val="24"/>
              </w:rPr>
            </w:pPr>
            <w:r w:rsidRPr="00C0282B">
              <w:rPr>
                <w:sz w:val="24"/>
                <w:szCs w:val="24"/>
              </w:rPr>
              <w:t>From collection or last use</w:t>
            </w:r>
          </w:p>
        </w:tc>
      </w:tr>
      <w:tr w:rsidR="00C0282B" w:rsidRPr="00C0282B" w14:paraId="2A061C48" w14:textId="77777777" w:rsidTr="00C0282B">
        <w:trPr>
          <w:tblCellSpacing w:w="15" w:type="dxa"/>
        </w:trPr>
        <w:tc>
          <w:tcPr>
            <w:tcW w:w="0" w:type="auto"/>
            <w:vAlign w:val="center"/>
            <w:hideMark/>
          </w:tcPr>
          <w:p w14:paraId="0CA8920C" w14:textId="77777777" w:rsidR="00C0282B" w:rsidRPr="00C0282B" w:rsidRDefault="00C0282B">
            <w:pPr>
              <w:rPr>
                <w:sz w:val="24"/>
                <w:szCs w:val="24"/>
              </w:rPr>
            </w:pPr>
            <w:r w:rsidRPr="00C0282B">
              <w:rPr>
                <w:sz w:val="24"/>
                <w:szCs w:val="24"/>
              </w:rPr>
              <w:t>Regulated client data</w:t>
            </w:r>
          </w:p>
        </w:tc>
        <w:tc>
          <w:tcPr>
            <w:tcW w:w="0" w:type="auto"/>
            <w:vAlign w:val="center"/>
            <w:hideMark/>
          </w:tcPr>
          <w:p w14:paraId="39F79A05" w14:textId="77777777" w:rsidR="00C0282B" w:rsidRPr="00C0282B" w:rsidRDefault="00C0282B">
            <w:pPr>
              <w:rPr>
                <w:sz w:val="24"/>
                <w:szCs w:val="24"/>
              </w:rPr>
            </w:pPr>
            <w:r w:rsidRPr="00C0282B">
              <w:rPr>
                <w:sz w:val="24"/>
                <w:szCs w:val="24"/>
              </w:rPr>
              <w:t>As per regulatory requirements</w:t>
            </w:r>
          </w:p>
        </w:tc>
        <w:tc>
          <w:tcPr>
            <w:tcW w:w="0" w:type="auto"/>
            <w:vAlign w:val="center"/>
            <w:hideMark/>
          </w:tcPr>
          <w:p w14:paraId="6ADC8C7A" w14:textId="77777777" w:rsidR="00C0282B" w:rsidRPr="00C0282B" w:rsidRDefault="00C0282B">
            <w:pPr>
              <w:rPr>
                <w:sz w:val="24"/>
                <w:szCs w:val="24"/>
              </w:rPr>
            </w:pPr>
            <w:r w:rsidRPr="00C0282B">
              <w:rPr>
                <w:sz w:val="24"/>
                <w:szCs w:val="24"/>
              </w:rPr>
              <w:t>As per regulatory requirements</w:t>
            </w:r>
          </w:p>
        </w:tc>
      </w:tr>
      <w:tr w:rsidR="00C0282B" w:rsidRPr="00C0282B" w14:paraId="75F9CFB5" w14:textId="77777777" w:rsidTr="00C0282B">
        <w:trPr>
          <w:tblCellSpacing w:w="15" w:type="dxa"/>
        </w:trPr>
        <w:tc>
          <w:tcPr>
            <w:tcW w:w="0" w:type="auto"/>
            <w:vAlign w:val="center"/>
            <w:hideMark/>
          </w:tcPr>
          <w:p w14:paraId="4777C8A7" w14:textId="77777777" w:rsidR="00C0282B" w:rsidRPr="00C0282B" w:rsidRDefault="00C0282B">
            <w:pPr>
              <w:rPr>
                <w:sz w:val="24"/>
                <w:szCs w:val="24"/>
              </w:rPr>
            </w:pPr>
            <w:r w:rsidRPr="00C0282B">
              <w:rPr>
                <w:sz w:val="24"/>
                <w:szCs w:val="24"/>
              </w:rPr>
              <w:t>Marketing preferences</w:t>
            </w:r>
          </w:p>
        </w:tc>
        <w:tc>
          <w:tcPr>
            <w:tcW w:w="0" w:type="auto"/>
            <w:vAlign w:val="center"/>
            <w:hideMark/>
          </w:tcPr>
          <w:p w14:paraId="595987FB" w14:textId="77777777" w:rsidR="00C0282B" w:rsidRPr="00C0282B" w:rsidRDefault="00C0282B">
            <w:pPr>
              <w:rPr>
                <w:sz w:val="24"/>
                <w:szCs w:val="24"/>
              </w:rPr>
            </w:pPr>
            <w:r w:rsidRPr="00C0282B">
              <w:rPr>
                <w:sz w:val="24"/>
                <w:szCs w:val="24"/>
              </w:rPr>
              <w:t>Until withdrawn</w:t>
            </w:r>
          </w:p>
        </w:tc>
        <w:tc>
          <w:tcPr>
            <w:tcW w:w="0" w:type="auto"/>
            <w:vAlign w:val="center"/>
            <w:hideMark/>
          </w:tcPr>
          <w:p w14:paraId="5AC295CD" w14:textId="77777777" w:rsidR="00C0282B" w:rsidRPr="00C0282B" w:rsidRDefault="00C0282B">
            <w:pPr>
              <w:rPr>
                <w:sz w:val="24"/>
                <w:szCs w:val="24"/>
              </w:rPr>
            </w:pPr>
            <w:r w:rsidRPr="00C0282B">
              <w:rPr>
                <w:sz w:val="24"/>
                <w:szCs w:val="24"/>
              </w:rPr>
              <w:t>From collection or last confirmation</w:t>
            </w:r>
          </w:p>
        </w:tc>
      </w:tr>
    </w:tbl>
    <w:p w14:paraId="0BA244B9" w14:textId="77777777" w:rsidR="00C0282B" w:rsidRPr="00C0282B" w:rsidRDefault="00C0282B" w:rsidP="00C0282B">
      <w:pPr>
        <w:pStyle w:val="Heading3"/>
        <w:rPr>
          <w:rFonts w:cs="Arial"/>
          <w:sz w:val="24"/>
          <w:szCs w:val="24"/>
        </w:rPr>
      </w:pPr>
      <w:r w:rsidRPr="00C0282B">
        <w:rPr>
          <w:rFonts w:cs="Arial"/>
          <w:sz w:val="24"/>
          <w:szCs w:val="24"/>
        </w:rPr>
        <w:lastRenderedPageBreak/>
        <w:t>5.2 Employee Data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1"/>
        <w:gridCol w:w="3395"/>
        <w:gridCol w:w="2820"/>
      </w:tblGrid>
      <w:tr w:rsidR="00C0282B" w:rsidRPr="00C0282B" w14:paraId="584713CF" w14:textId="77777777" w:rsidTr="00C0282B">
        <w:trPr>
          <w:tblHeader/>
          <w:tblCellSpacing w:w="15" w:type="dxa"/>
        </w:trPr>
        <w:tc>
          <w:tcPr>
            <w:tcW w:w="0" w:type="auto"/>
            <w:vAlign w:val="center"/>
            <w:hideMark/>
          </w:tcPr>
          <w:p w14:paraId="6B332B52" w14:textId="77777777" w:rsidR="00C0282B" w:rsidRPr="00C0282B" w:rsidRDefault="00C0282B">
            <w:pPr>
              <w:jc w:val="center"/>
              <w:rPr>
                <w:b/>
                <w:bCs/>
                <w:sz w:val="24"/>
                <w:szCs w:val="24"/>
              </w:rPr>
            </w:pPr>
            <w:r w:rsidRPr="00C0282B">
              <w:rPr>
                <w:rStyle w:val="Strong"/>
                <w:sz w:val="24"/>
                <w:szCs w:val="24"/>
              </w:rPr>
              <w:t>Category</w:t>
            </w:r>
          </w:p>
        </w:tc>
        <w:tc>
          <w:tcPr>
            <w:tcW w:w="0" w:type="auto"/>
            <w:vAlign w:val="center"/>
            <w:hideMark/>
          </w:tcPr>
          <w:p w14:paraId="2511D8E2" w14:textId="77777777" w:rsidR="00C0282B" w:rsidRPr="00C0282B" w:rsidRDefault="00C0282B">
            <w:pPr>
              <w:jc w:val="center"/>
              <w:rPr>
                <w:b/>
                <w:bCs/>
                <w:sz w:val="24"/>
                <w:szCs w:val="24"/>
              </w:rPr>
            </w:pPr>
            <w:r w:rsidRPr="00C0282B">
              <w:rPr>
                <w:rStyle w:val="Strong"/>
                <w:sz w:val="24"/>
                <w:szCs w:val="24"/>
              </w:rPr>
              <w:t>Retention Period</w:t>
            </w:r>
          </w:p>
        </w:tc>
        <w:tc>
          <w:tcPr>
            <w:tcW w:w="0" w:type="auto"/>
            <w:vAlign w:val="center"/>
            <w:hideMark/>
          </w:tcPr>
          <w:p w14:paraId="38BA25C0" w14:textId="77777777" w:rsidR="00C0282B" w:rsidRPr="00C0282B" w:rsidRDefault="00C0282B">
            <w:pPr>
              <w:jc w:val="center"/>
              <w:rPr>
                <w:b/>
                <w:bCs/>
                <w:sz w:val="24"/>
                <w:szCs w:val="24"/>
              </w:rPr>
            </w:pPr>
            <w:r w:rsidRPr="00C0282B">
              <w:rPr>
                <w:rStyle w:val="Strong"/>
                <w:sz w:val="24"/>
                <w:szCs w:val="24"/>
              </w:rPr>
              <w:t>Trigger for Retention Period</w:t>
            </w:r>
          </w:p>
        </w:tc>
      </w:tr>
      <w:tr w:rsidR="00C0282B" w:rsidRPr="00C0282B" w14:paraId="6D69C7EA" w14:textId="77777777" w:rsidTr="00C0282B">
        <w:trPr>
          <w:tblCellSpacing w:w="15" w:type="dxa"/>
        </w:trPr>
        <w:tc>
          <w:tcPr>
            <w:tcW w:w="0" w:type="auto"/>
            <w:vAlign w:val="center"/>
            <w:hideMark/>
          </w:tcPr>
          <w:p w14:paraId="39CFDCF8" w14:textId="77777777" w:rsidR="00C0282B" w:rsidRPr="00C0282B" w:rsidRDefault="00C0282B">
            <w:pPr>
              <w:rPr>
                <w:sz w:val="24"/>
                <w:szCs w:val="24"/>
              </w:rPr>
            </w:pPr>
            <w:r w:rsidRPr="00C0282B">
              <w:rPr>
                <w:sz w:val="24"/>
                <w:szCs w:val="24"/>
              </w:rPr>
              <w:t>Personnel files</w:t>
            </w:r>
          </w:p>
        </w:tc>
        <w:tc>
          <w:tcPr>
            <w:tcW w:w="0" w:type="auto"/>
            <w:vAlign w:val="center"/>
            <w:hideMark/>
          </w:tcPr>
          <w:p w14:paraId="765CD7BA" w14:textId="77777777" w:rsidR="00C0282B" w:rsidRPr="00C0282B" w:rsidRDefault="00C0282B">
            <w:pPr>
              <w:rPr>
                <w:sz w:val="24"/>
                <w:szCs w:val="24"/>
              </w:rPr>
            </w:pPr>
            <w:r w:rsidRPr="00C0282B">
              <w:rPr>
                <w:sz w:val="24"/>
                <w:szCs w:val="24"/>
              </w:rPr>
              <w:t>6 years</w:t>
            </w:r>
          </w:p>
        </w:tc>
        <w:tc>
          <w:tcPr>
            <w:tcW w:w="0" w:type="auto"/>
            <w:vAlign w:val="center"/>
            <w:hideMark/>
          </w:tcPr>
          <w:p w14:paraId="62CCFF44" w14:textId="77777777" w:rsidR="00C0282B" w:rsidRPr="00C0282B" w:rsidRDefault="00C0282B">
            <w:pPr>
              <w:rPr>
                <w:sz w:val="24"/>
                <w:szCs w:val="24"/>
              </w:rPr>
            </w:pPr>
            <w:r w:rsidRPr="00C0282B">
              <w:rPr>
                <w:sz w:val="24"/>
                <w:szCs w:val="24"/>
              </w:rPr>
              <w:t>From end of employment</w:t>
            </w:r>
          </w:p>
        </w:tc>
      </w:tr>
      <w:tr w:rsidR="00C0282B" w:rsidRPr="00C0282B" w14:paraId="14760C11" w14:textId="77777777" w:rsidTr="00C0282B">
        <w:trPr>
          <w:tblCellSpacing w:w="15" w:type="dxa"/>
        </w:trPr>
        <w:tc>
          <w:tcPr>
            <w:tcW w:w="0" w:type="auto"/>
            <w:vAlign w:val="center"/>
            <w:hideMark/>
          </w:tcPr>
          <w:p w14:paraId="0E2751A6" w14:textId="77777777" w:rsidR="00C0282B" w:rsidRPr="00C0282B" w:rsidRDefault="00C0282B">
            <w:pPr>
              <w:rPr>
                <w:sz w:val="24"/>
                <w:szCs w:val="24"/>
              </w:rPr>
            </w:pPr>
            <w:r w:rsidRPr="00C0282B">
              <w:rPr>
                <w:sz w:val="24"/>
                <w:szCs w:val="24"/>
              </w:rPr>
              <w:t>Payroll and tax information</w:t>
            </w:r>
          </w:p>
        </w:tc>
        <w:tc>
          <w:tcPr>
            <w:tcW w:w="0" w:type="auto"/>
            <w:vAlign w:val="center"/>
            <w:hideMark/>
          </w:tcPr>
          <w:p w14:paraId="15740787" w14:textId="77777777" w:rsidR="00C0282B" w:rsidRPr="00C0282B" w:rsidRDefault="00C0282B">
            <w:pPr>
              <w:rPr>
                <w:sz w:val="24"/>
                <w:szCs w:val="24"/>
              </w:rPr>
            </w:pPr>
            <w:r w:rsidRPr="00C0282B">
              <w:rPr>
                <w:sz w:val="24"/>
                <w:szCs w:val="24"/>
              </w:rPr>
              <w:t>7 years</w:t>
            </w:r>
          </w:p>
        </w:tc>
        <w:tc>
          <w:tcPr>
            <w:tcW w:w="0" w:type="auto"/>
            <w:vAlign w:val="center"/>
            <w:hideMark/>
          </w:tcPr>
          <w:p w14:paraId="1F517EB1" w14:textId="77777777" w:rsidR="00C0282B" w:rsidRPr="00C0282B" w:rsidRDefault="00C0282B">
            <w:pPr>
              <w:rPr>
                <w:sz w:val="24"/>
                <w:szCs w:val="24"/>
              </w:rPr>
            </w:pPr>
            <w:r w:rsidRPr="00C0282B">
              <w:rPr>
                <w:sz w:val="24"/>
                <w:szCs w:val="24"/>
              </w:rPr>
              <w:t>From end of relevant tax year</w:t>
            </w:r>
          </w:p>
        </w:tc>
      </w:tr>
      <w:tr w:rsidR="00C0282B" w:rsidRPr="00C0282B" w14:paraId="11FD29AE" w14:textId="77777777" w:rsidTr="00C0282B">
        <w:trPr>
          <w:tblCellSpacing w:w="15" w:type="dxa"/>
        </w:trPr>
        <w:tc>
          <w:tcPr>
            <w:tcW w:w="0" w:type="auto"/>
            <w:vAlign w:val="center"/>
            <w:hideMark/>
          </w:tcPr>
          <w:p w14:paraId="0FB9B1C2" w14:textId="77777777" w:rsidR="00C0282B" w:rsidRPr="00C0282B" w:rsidRDefault="00C0282B">
            <w:pPr>
              <w:rPr>
                <w:sz w:val="24"/>
                <w:szCs w:val="24"/>
              </w:rPr>
            </w:pPr>
            <w:r w:rsidRPr="00C0282B">
              <w:rPr>
                <w:sz w:val="24"/>
                <w:szCs w:val="24"/>
              </w:rPr>
              <w:t>Recruitment data (successful)</w:t>
            </w:r>
          </w:p>
        </w:tc>
        <w:tc>
          <w:tcPr>
            <w:tcW w:w="0" w:type="auto"/>
            <w:vAlign w:val="center"/>
            <w:hideMark/>
          </w:tcPr>
          <w:p w14:paraId="61E52130" w14:textId="77777777" w:rsidR="00C0282B" w:rsidRPr="00C0282B" w:rsidRDefault="00C0282B">
            <w:pPr>
              <w:rPr>
                <w:sz w:val="24"/>
                <w:szCs w:val="24"/>
              </w:rPr>
            </w:pPr>
            <w:r w:rsidRPr="00C0282B">
              <w:rPr>
                <w:sz w:val="24"/>
                <w:szCs w:val="24"/>
              </w:rPr>
              <w:t>Duration of employment + 6 years</w:t>
            </w:r>
          </w:p>
        </w:tc>
        <w:tc>
          <w:tcPr>
            <w:tcW w:w="0" w:type="auto"/>
            <w:vAlign w:val="center"/>
            <w:hideMark/>
          </w:tcPr>
          <w:p w14:paraId="2E3713BE" w14:textId="77777777" w:rsidR="00C0282B" w:rsidRPr="00C0282B" w:rsidRDefault="00C0282B">
            <w:pPr>
              <w:rPr>
                <w:sz w:val="24"/>
                <w:szCs w:val="24"/>
              </w:rPr>
            </w:pPr>
            <w:r w:rsidRPr="00C0282B">
              <w:rPr>
                <w:sz w:val="24"/>
                <w:szCs w:val="24"/>
              </w:rPr>
              <w:t>From end of employment</w:t>
            </w:r>
          </w:p>
        </w:tc>
      </w:tr>
      <w:tr w:rsidR="00C0282B" w:rsidRPr="00C0282B" w14:paraId="7CC2BF6B" w14:textId="77777777" w:rsidTr="00C0282B">
        <w:trPr>
          <w:tblCellSpacing w:w="15" w:type="dxa"/>
        </w:trPr>
        <w:tc>
          <w:tcPr>
            <w:tcW w:w="0" w:type="auto"/>
            <w:vAlign w:val="center"/>
            <w:hideMark/>
          </w:tcPr>
          <w:p w14:paraId="3834C0E4" w14:textId="77777777" w:rsidR="00C0282B" w:rsidRPr="00C0282B" w:rsidRDefault="00C0282B">
            <w:pPr>
              <w:rPr>
                <w:sz w:val="24"/>
                <w:szCs w:val="24"/>
              </w:rPr>
            </w:pPr>
            <w:r w:rsidRPr="00C0282B">
              <w:rPr>
                <w:sz w:val="24"/>
                <w:szCs w:val="24"/>
              </w:rPr>
              <w:t>Recruitment data (unsuccessful)</w:t>
            </w:r>
          </w:p>
        </w:tc>
        <w:tc>
          <w:tcPr>
            <w:tcW w:w="0" w:type="auto"/>
            <w:vAlign w:val="center"/>
            <w:hideMark/>
          </w:tcPr>
          <w:p w14:paraId="5AD8CC02" w14:textId="77777777" w:rsidR="00C0282B" w:rsidRPr="00C0282B" w:rsidRDefault="00C0282B">
            <w:pPr>
              <w:rPr>
                <w:sz w:val="24"/>
                <w:szCs w:val="24"/>
              </w:rPr>
            </w:pPr>
            <w:r w:rsidRPr="00C0282B">
              <w:rPr>
                <w:sz w:val="24"/>
                <w:szCs w:val="24"/>
              </w:rPr>
              <w:t>1 year</w:t>
            </w:r>
          </w:p>
        </w:tc>
        <w:tc>
          <w:tcPr>
            <w:tcW w:w="0" w:type="auto"/>
            <w:vAlign w:val="center"/>
            <w:hideMark/>
          </w:tcPr>
          <w:p w14:paraId="4A17591E" w14:textId="77777777" w:rsidR="00C0282B" w:rsidRPr="00C0282B" w:rsidRDefault="00C0282B">
            <w:pPr>
              <w:rPr>
                <w:sz w:val="24"/>
                <w:szCs w:val="24"/>
              </w:rPr>
            </w:pPr>
            <w:r w:rsidRPr="00C0282B">
              <w:rPr>
                <w:sz w:val="24"/>
                <w:szCs w:val="24"/>
              </w:rPr>
              <w:t>From notification of decision</w:t>
            </w:r>
          </w:p>
        </w:tc>
      </w:tr>
      <w:tr w:rsidR="00C0282B" w:rsidRPr="00C0282B" w14:paraId="3991BC15" w14:textId="77777777" w:rsidTr="00C0282B">
        <w:trPr>
          <w:tblCellSpacing w:w="15" w:type="dxa"/>
        </w:trPr>
        <w:tc>
          <w:tcPr>
            <w:tcW w:w="0" w:type="auto"/>
            <w:vAlign w:val="center"/>
            <w:hideMark/>
          </w:tcPr>
          <w:p w14:paraId="56365ECF" w14:textId="77777777" w:rsidR="00C0282B" w:rsidRPr="00C0282B" w:rsidRDefault="00C0282B">
            <w:pPr>
              <w:rPr>
                <w:sz w:val="24"/>
                <w:szCs w:val="24"/>
              </w:rPr>
            </w:pPr>
            <w:r w:rsidRPr="00C0282B">
              <w:rPr>
                <w:sz w:val="24"/>
                <w:szCs w:val="24"/>
              </w:rPr>
              <w:t>Performance reviews</w:t>
            </w:r>
          </w:p>
        </w:tc>
        <w:tc>
          <w:tcPr>
            <w:tcW w:w="0" w:type="auto"/>
            <w:vAlign w:val="center"/>
            <w:hideMark/>
          </w:tcPr>
          <w:p w14:paraId="7EE01D76" w14:textId="77777777" w:rsidR="00C0282B" w:rsidRPr="00C0282B" w:rsidRDefault="00C0282B">
            <w:pPr>
              <w:rPr>
                <w:sz w:val="24"/>
                <w:szCs w:val="24"/>
              </w:rPr>
            </w:pPr>
            <w:r w:rsidRPr="00C0282B">
              <w:rPr>
                <w:sz w:val="24"/>
                <w:szCs w:val="24"/>
              </w:rPr>
              <w:t>5 years</w:t>
            </w:r>
          </w:p>
        </w:tc>
        <w:tc>
          <w:tcPr>
            <w:tcW w:w="0" w:type="auto"/>
            <w:vAlign w:val="center"/>
            <w:hideMark/>
          </w:tcPr>
          <w:p w14:paraId="76D73824" w14:textId="77777777" w:rsidR="00C0282B" w:rsidRPr="00C0282B" w:rsidRDefault="00C0282B">
            <w:pPr>
              <w:rPr>
                <w:sz w:val="24"/>
                <w:szCs w:val="24"/>
              </w:rPr>
            </w:pPr>
            <w:r w:rsidRPr="00C0282B">
              <w:rPr>
                <w:sz w:val="24"/>
                <w:szCs w:val="24"/>
              </w:rPr>
              <w:t>From date of review</w:t>
            </w:r>
          </w:p>
        </w:tc>
      </w:tr>
      <w:tr w:rsidR="00C0282B" w:rsidRPr="00C0282B" w14:paraId="69B6A8C7" w14:textId="77777777" w:rsidTr="00C0282B">
        <w:trPr>
          <w:tblCellSpacing w:w="15" w:type="dxa"/>
        </w:trPr>
        <w:tc>
          <w:tcPr>
            <w:tcW w:w="0" w:type="auto"/>
            <w:vAlign w:val="center"/>
            <w:hideMark/>
          </w:tcPr>
          <w:p w14:paraId="26E946F9" w14:textId="77777777" w:rsidR="00C0282B" w:rsidRPr="00C0282B" w:rsidRDefault="00C0282B">
            <w:pPr>
              <w:rPr>
                <w:sz w:val="24"/>
                <w:szCs w:val="24"/>
              </w:rPr>
            </w:pPr>
            <w:r w:rsidRPr="00C0282B">
              <w:rPr>
                <w:sz w:val="24"/>
                <w:szCs w:val="24"/>
              </w:rPr>
              <w:t>Disciplinary records</w:t>
            </w:r>
          </w:p>
        </w:tc>
        <w:tc>
          <w:tcPr>
            <w:tcW w:w="0" w:type="auto"/>
            <w:vAlign w:val="center"/>
            <w:hideMark/>
          </w:tcPr>
          <w:p w14:paraId="5E549406" w14:textId="77777777" w:rsidR="00C0282B" w:rsidRPr="00C0282B" w:rsidRDefault="00C0282B">
            <w:pPr>
              <w:rPr>
                <w:sz w:val="24"/>
                <w:szCs w:val="24"/>
              </w:rPr>
            </w:pPr>
            <w:r w:rsidRPr="00C0282B">
              <w:rPr>
                <w:sz w:val="24"/>
                <w:szCs w:val="24"/>
              </w:rPr>
              <w:t>2 years</w:t>
            </w:r>
          </w:p>
        </w:tc>
        <w:tc>
          <w:tcPr>
            <w:tcW w:w="0" w:type="auto"/>
            <w:vAlign w:val="center"/>
            <w:hideMark/>
          </w:tcPr>
          <w:p w14:paraId="6DBF94A6" w14:textId="77777777" w:rsidR="00C0282B" w:rsidRPr="00C0282B" w:rsidRDefault="00C0282B">
            <w:pPr>
              <w:rPr>
                <w:sz w:val="24"/>
                <w:szCs w:val="24"/>
              </w:rPr>
            </w:pPr>
            <w:r w:rsidRPr="00C0282B">
              <w:rPr>
                <w:sz w:val="24"/>
                <w:szCs w:val="24"/>
              </w:rPr>
              <w:t>From resolution of issue</w:t>
            </w:r>
          </w:p>
        </w:tc>
      </w:tr>
      <w:tr w:rsidR="00C0282B" w:rsidRPr="00C0282B" w14:paraId="65B0DEDD" w14:textId="77777777" w:rsidTr="00C0282B">
        <w:trPr>
          <w:tblCellSpacing w:w="15" w:type="dxa"/>
        </w:trPr>
        <w:tc>
          <w:tcPr>
            <w:tcW w:w="0" w:type="auto"/>
            <w:vAlign w:val="center"/>
            <w:hideMark/>
          </w:tcPr>
          <w:p w14:paraId="1F75B987" w14:textId="77777777" w:rsidR="00C0282B" w:rsidRPr="00C0282B" w:rsidRDefault="00C0282B">
            <w:pPr>
              <w:rPr>
                <w:sz w:val="24"/>
                <w:szCs w:val="24"/>
              </w:rPr>
            </w:pPr>
            <w:r w:rsidRPr="00C0282B">
              <w:rPr>
                <w:sz w:val="24"/>
                <w:szCs w:val="24"/>
              </w:rPr>
              <w:t>Health and safety records</w:t>
            </w:r>
          </w:p>
        </w:tc>
        <w:tc>
          <w:tcPr>
            <w:tcW w:w="0" w:type="auto"/>
            <w:vAlign w:val="center"/>
            <w:hideMark/>
          </w:tcPr>
          <w:p w14:paraId="025B44B7" w14:textId="77777777" w:rsidR="00C0282B" w:rsidRPr="00C0282B" w:rsidRDefault="00C0282B">
            <w:pPr>
              <w:rPr>
                <w:sz w:val="24"/>
                <w:szCs w:val="24"/>
              </w:rPr>
            </w:pPr>
            <w:r w:rsidRPr="00C0282B">
              <w:rPr>
                <w:sz w:val="24"/>
                <w:szCs w:val="24"/>
              </w:rPr>
              <w:t>3 years</w:t>
            </w:r>
          </w:p>
        </w:tc>
        <w:tc>
          <w:tcPr>
            <w:tcW w:w="0" w:type="auto"/>
            <w:vAlign w:val="center"/>
            <w:hideMark/>
          </w:tcPr>
          <w:p w14:paraId="0267DDB3" w14:textId="77777777" w:rsidR="00C0282B" w:rsidRPr="00C0282B" w:rsidRDefault="00C0282B">
            <w:pPr>
              <w:rPr>
                <w:sz w:val="24"/>
                <w:szCs w:val="24"/>
              </w:rPr>
            </w:pPr>
            <w:r w:rsidRPr="00C0282B">
              <w:rPr>
                <w:sz w:val="24"/>
                <w:szCs w:val="24"/>
              </w:rPr>
              <w:t>From date of record</w:t>
            </w:r>
          </w:p>
        </w:tc>
      </w:tr>
      <w:tr w:rsidR="00C0282B" w:rsidRPr="00C0282B" w14:paraId="58394A0A" w14:textId="77777777" w:rsidTr="00C0282B">
        <w:trPr>
          <w:tblCellSpacing w:w="15" w:type="dxa"/>
        </w:trPr>
        <w:tc>
          <w:tcPr>
            <w:tcW w:w="0" w:type="auto"/>
            <w:vAlign w:val="center"/>
            <w:hideMark/>
          </w:tcPr>
          <w:p w14:paraId="4D62B605" w14:textId="77777777" w:rsidR="00C0282B" w:rsidRPr="00C0282B" w:rsidRDefault="00C0282B">
            <w:pPr>
              <w:rPr>
                <w:sz w:val="24"/>
                <w:szCs w:val="24"/>
              </w:rPr>
            </w:pPr>
            <w:r w:rsidRPr="00C0282B">
              <w:rPr>
                <w:sz w:val="24"/>
                <w:szCs w:val="24"/>
              </w:rPr>
              <w:t>Training records</w:t>
            </w:r>
          </w:p>
        </w:tc>
        <w:tc>
          <w:tcPr>
            <w:tcW w:w="0" w:type="auto"/>
            <w:vAlign w:val="center"/>
            <w:hideMark/>
          </w:tcPr>
          <w:p w14:paraId="5EEDCC09" w14:textId="77777777" w:rsidR="00C0282B" w:rsidRPr="00C0282B" w:rsidRDefault="00C0282B">
            <w:pPr>
              <w:rPr>
                <w:sz w:val="24"/>
                <w:szCs w:val="24"/>
              </w:rPr>
            </w:pPr>
            <w:r w:rsidRPr="00C0282B">
              <w:rPr>
                <w:sz w:val="24"/>
                <w:szCs w:val="24"/>
              </w:rPr>
              <w:t>5 years</w:t>
            </w:r>
          </w:p>
        </w:tc>
        <w:tc>
          <w:tcPr>
            <w:tcW w:w="0" w:type="auto"/>
            <w:vAlign w:val="center"/>
            <w:hideMark/>
          </w:tcPr>
          <w:p w14:paraId="63B95686" w14:textId="77777777" w:rsidR="00C0282B" w:rsidRPr="00C0282B" w:rsidRDefault="00C0282B">
            <w:pPr>
              <w:rPr>
                <w:sz w:val="24"/>
                <w:szCs w:val="24"/>
              </w:rPr>
            </w:pPr>
            <w:r w:rsidRPr="00C0282B">
              <w:rPr>
                <w:sz w:val="24"/>
                <w:szCs w:val="24"/>
              </w:rPr>
              <w:t>From completion of training</w:t>
            </w:r>
          </w:p>
        </w:tc>
      </w:tr>
      <w:tr w:rsidR="00C0282B" w:rsidRPr="00C0282B" w14:paraId="2696A1AB" w14:textId="77777777" w:rsidTr="00C0282B">
        <w:trPr>
          <w:tblCellSpacing w:w="15" w:type="dxa"/>
        </w:trPr>
        <w:tc>
          <w:tcPr>
            <w:tcW w:w="0" w:type="auto"/>
            <w:vAlign w:val="center"/>
            <w:hideMark/>
          </w:tcPr>
          <w:p w14:paraId="28DA4909" w14:textId="77777777" w:rsidR="00C0282B" w:rsidRPr="00C0282B" w:rsidRDefault="00C0282B">
            <w:pPr>
              <w:rPr>
                <w:sz w:val="24"/>
                <w:szCs w:val="24"/>
              </w:rPr>
            </w:pPr>
            <w:r w:rsidRPr="00C0282B">
              <w:rPr>
                <w:sz w:val="24"/>
                <w:szCs w:val="24"/>
              </w:rPr>
              <w:t>Employment contracts</w:t>
            </w:r>
          </w:p>
        </w:tc>
        <w:tc>
          <w:tcPr>
            <w:tcW w:w="0" w:type="auto"/>
            <w:vAlign w:val="center"/>
            <w:hideMark/>
          </w:tcPr>
          <w:p w14:paraId="5930AB38" w14:textId="77777777" w:rsidR="00C0282B" w:rsidRPr="00C0282B" w:rsidRDefault="00C0282B">
            <w:pPr>
              <w:rPr>
                <w:sz w:val="24"/>
                <w:szCs w:val="24"/>
              </w:rPr>
            </w:pPr>
            <w:r w:rsidRPr="00C0282B">
              <w:rPr>
                <w:sz w:val="24"/>
                <w:szCs w:val="24"/>
              </w:rPr>
              <w:t>6 years</w:t>
            </w:r>
          </w:p>
        </w:tc>
        <w:tc>
          <w:tcPr>
            <w:tcW w:w="0" w:type="auto"/>
            <w:vAlign w:val="center"/>
            <w:hideMark/>
          </w:tcPr>
          <w:p w14:paraId="3B257217" w14:textId="77777777" w:rsidR="00C0282B" w:rsidRPr="00C0282B" w:rsidRDefault="00C0282B">
            <w:pPr>
              <w:rPr>
                <w:sz w:val="24"/>
                <w:szCs w:val="24"/>
              </w:rPr>
            </w:pPr>
            <w:r w:rsidRPr="00C0282B">
              <w:rPr>
                <w:sz w:val="24"/>
                <w:szCs w:val="24"/>
              </w:rPr>
              <w:t>From end of employment</w:t>
            </w:r>
          </w:p>
        </w:tc>
      </w:tr>
      <w:tr w:rsidR="00C0282B" w:rsidRPr="00C0282B" w14:paraId="3BC98849" w14:textId="77777777" w:rsidTr="00C0282B">
        <w:trPr>
          <w:tblCellSpacing w:w="15" w:type="dxa"/>
        </w:trPr>
        <w:tc>
          <w:tcPr>
            <w:tcW w:w="0" w:type="auto"/>
            <w:vAlign w:val="center"/>
            <w:hideMark/>
          </w:tcPr>
          <w:p w14:paraId="7BC4D145" w14:textId="77777777" w:rsidR="00C0282B" w:rsidRPr="00C0282B" w:rsidRDefault="00C0282B">
            <w:pPr>
              <w:rPr>
                <w:sz w:val="24"/>
                <w:szCs w:val="24"/>
              </w:rPr>
            </w:pPr>
            <w:r w:rsidRPr="00C0282B">
              <w:rPr>
                <w:sz w:val="24"/>
                <w:szCs w:val="24"/>
              </w:rPr>
              <w:t>Immigration status documents</w:t>
            </w:r>
          </w:p>
        </w:tc>
        <w:tc>
          <w:tcPr>
            <w:tcW w:w="0" w:type="auto"/>
            <w:vAlign w:val="center"/>
            <w:hideMark/>
          </w:tcPr>
          <w:p w14:paraId="489D2E17" w14:textId="77777777" w:rsidR="00C0282B" w:rsidRPr="00C0282B" w:rsidRDefault="00C0282B">
            <w:pPr>
              <w:rPr>
                <w:sz w:val="24"/>
                <w:szCs w:val="24"/>
              </w:rPr>
            </w:pPr>
            <w:r w:rsidRPr="00C0282B">
              <w:rPr>
                <w:sz w:val="24"/>
                <w:szCs w:val="24"/>
              </w:rPr>
              <w:t>2 years</w:t>
            </w:r>
          </w:p>
        </w:tc>
        <w:tc>
          <w:tcPr>
            <w:tcW w:w="0" w:type="auto"/>
            <w:vAlign w:val="center"/>
            <w:hideMark/>
          </w:tcPr>
          <w:p w14:paraId="50FE0318" w14:textId="77777777" w:rsidR="00C0282B" w:rsidRPr="00C0282B" w:rsidRDefault="00C0282B">
            <w:pPr>
              <w:rPr>
                <w:sz w:val="24"/>
                <w:szCs w:val="24"/>
              </w:rPr>
            </w:pPr>
            <w:r w:rsidRPr="00C0282B">
              <w:rPr>
                <w:sz w:val="24"/>
                <w:szCs w:val="24"/>
              </w:rPr>
              <w:t>From end of employment</w:t>
            </w:r>
          </w:p>
        </w:tc>
      </w:tr>
      <w:tr w:rsidR="00C0282B" w:rsidRPr="00C0282B" w14:paraId="76E7D82B" w14:textId="77777777" w:rsidTr="00C0282B">
        <w:trPr>
          <w:tblCellSpacing w:w="15" w:type="dxa"/>
        </w:trPr>
        <w:tc>
          <w:tcPr>
            <w:tcW w:w="0" w:type="auto"/>
            <w:vAlign w:val="center"/>
            <w:hideMark/>
          </w:tcPr>
          <w:p w14:paraId="3D7E26D2" w14:textId="77777777" w:rsidR="00C0282B" w:rsidRPr="00C0282B" w:rsidRDefault="00C0282B">
            <w:pPr>
              <w:rPr>
                <w:sz w:val="24"/>
                <w:szCs w:val="24"/>
              </w:rPr>
            </w:pPr>
            <w:r w:rsidRPr="00C0282B">
              <w:rPr>
                <w:sz w:val="24"/>
                <w:szCs w:val="24"/>
              </w:rPr>
              <w:t>Pension records</w:t>
            </w:r>
          </w:p>
        </w:tc>
        <w:tc>
          <w:tcPr>
            <w:tcW w:w="0" w:type="auto"/>
            <w:vAlign w:val="center"/>
            <w:hideMark/>
          </w:tcPr>
          <w:p w14:paraId="2BA41903" w14:textId="77777777" w:rsidR="00C0282B" w:rsidRPr="00C0282B" w:rsidRDefault="00C0282B">
            <w:pPr>
              <w:rPr>
                <w:sz w:val="24"/>
                <w:szCs w:val="24"/>
              </w:rPr>
            </w:pPr>
            <w:r w:rsidRPr="00C0282B">
              <w:rPr>
                <w:sz w:val="24"/>
                <w:szCs w:val="24"/>
              </w:rPr>
              <w:t>Duration of scheme membership + 6 years</w:t>
            </w:r>
          </w:p>
        </w:tc>
        <w:tc>
          <w:tcPr>
            <w:tcW w:w="0" w:type="auto"/>
            <w:vAlign w:val="center"/>
            <w:hideMark/>
          </w:tcPr>
          <w:p w14:paraId="51604FF2" w14:textId="77777777" w:rsidR="00C0282B" w:rsidRPr="00C0282B" w:rsidRDefault="00C0282B">
            <w:pPr>
              <w:rPr>
                <w:sz w:val="24"/>
                <w:szCs w:val="24"/>
              </w:rPr>
            </w:pPr>
            <w:r w:rsidRPr="00C0282B">
              <w:rPr>
                <w:sz w:val="24"/>
                <w:szCs w:val="24"/>
              </w:rPr>
              <w:t>From end of scheme membership</w:t>
            </w:r>
          </w:p>
        </w:tc>
      </w:tr>
    </w:tbl>
    <w:p w14:paraId="375CE0FC" w14:textId="77777777" w:rsidR="00C0282B" w:rsidRPr="00C0282B" w:rsidRDefault="00C0282B" w:rsidP="00C0282B">
      <w:pPr>
        <w:pStyle w:val="Heading3"/>
        <w:rPr>
          <w:rFonts w:cs="Arial"/>
          <w:sz w:val="24"/>
          <w:szCs w:val="24"/>
        </w:rPr>
      </w:pPr>
      <w:r w:rsidRPr="00C0282B">
        <w:rPr>
          <w:rFonts w:cs="Arial"/>
          <w:sz w:val="24"/>
          <w:szCs w:val="24"/>
        </w:rPr>
        <w:t>5.3 Special Cases and Exceptions</w:t>
      </w:r>
    </w:p>
    <w:p w14:paraId="012FE4AA" w14:textId="77777777" w:rsidR="00C0282B" w:rsidRPr="00C0282B" w:rsidRDefault="00C0282B" w:rsidP="00C0282B">
      <w:pPr>
        <w:pStyle w:val="NormalWeb"/>
        <w:rPr>
          <w:rFonts w:ascii="Arial" w:hAnsi="Arial" w:cs="Arial"/>
        </w:rPr>
      </w:pPr>
      <w:r w:rsidRPr="00C0282B">
        <w:rPr>
          <w:rFonts w:ascii="Arial" w:hAnsi="Arial" w:cs="Arial"/>
        </w:rPr>
        <w:t>The following circumstances may extend or modify standard retention periods:</w:t>
      </w:r>
    </w:p>
    <w:p w14:paraId="2563FB51" w14:textId="77777777" w:rsidR="00C0282B" w:rsidRPr="00C0282B" w:rsidRDefault="00C0282B" w:rsidP="00C0282B">
      <w:pPr>
        <w:numPr>
          <w:ilvl w:val="0"/>
          <w:numId w:val="24"/>
        </w:numPr>
        <w:spacing w:before="100" w:beforeAutospacing="1" w:after="100" w:afterAutospacing="1" w:line="240" w:lineRule="auto"/>
        <w:rPr>
          <w:sz w:val="24"/>
          <w:szCs w:val="24"/>
        </w:rPr>
      </w:pPr>
      <w:r w:rsidRPr="00C0282B">
        <w:rPr>
          <w:rStyle w:val="Strong"/>
          <w:sz w:val="24"/>
          <w:szCs w:val="24"/>
        </w:rPr>
        <w:t>Litigation holds:</w:t>
      </w:r>
      <w:r w:rsidRPr="00C0282B">
        <w:rPr>
          <w:sz w:val="24"/>
          <w:szCs w:val="24"/>
        </w:rPr>
        <w:t xml:space="preserve"> Data subject to litigation holds will be retained until the hold is lifted</w:t>
      </w:r>
    </w:p>
    <w:p w14:paraId="07AD16B1" w14:textId="77777777" w:rsidR="00C0282B" w:rsidRPr="00C0282B" w:rsidRDefault="00C0282B" w:rsidP="00C0282B">
      <w:pPr>
        <w:numPr>
          <w:ilvl w:val="0"/>
          <w:numId w:val="24"/>
        </w:numPr>
        <w:spacing w:before="100" w:beforeAutospacing="1" w:after="100" w:afterAutospacing="1" w:line="240" w:lineRule="auto"/>
        <w:rPr>
          <w:sz w:val="24"/>
          <w:szCs w:val="24"/>
        </w:rPr>
      </w:pPr>
      <w:r w:rsidRPr="00C0282B">
        <w:rPr>
          <w:rStyle w:val="Strong"/>
          <w:sz w:val="24"/>
          <w:szCs w:val="24"/>
        </w:rPr>
        <w:t>Regulatory investigations:</w:t>
      </w:r>
      <w:r w:rsidRPr="00C0282B">
        <w:rPr>
          <w:sz w:val="24"/>
          <w:szCs w:val="24"/>
        </w:rPr>
        <w:t xml:space="preserve"> Data relevant to ongoing investigations will be retained until resolution</w:t>
      </w:r>
    </w:p>
    <w:p w14:paraId="164C2F20" w14:textId="77777777" w:rsidR="00C0282B" w:rsidRPr="00C0282B" w:rsidRDefault="00C0282B" w:rsidP="00C0282B">
      <w:pPr>
        <w:numPr>
          <w:ilvl w:val="0"/>
          <w:numId w:val="24"/>
        </w:numPr>
        <w:spacing w:before="100" w:beforeAutospacing="1" w:after="100" w:afterAutospacing="1" w:line="240" w:lineRule="auto"/>
        <w:rPr>
          <w:sz w:val="24"/>
          <w:szCs w:val="24"/>
        </w:rPr>
      </w:pPr>
      <w:r w:rsidRPr="00C0282B">
        <w:rPr>
          <w:rStyle w:val="Strong"/>
          <w:sz w:val="24"/>
          <w:szCs w:val="24"/>
        </w:rPr>
        <w:t>Contractual requirements:</w:t>
      </w:r>
      <w:r w:rsidRPr="00C0282B">
        <w:rPr>
          <w:sz w:val="24"/>
          <w:szCs w:val="24"/>
        </w:rPr>
        <w:t xml:space="preserve"> Where client agreements specify longer retention periods</w:t>
      </w:r>
    </w:p>
    <w:p w14:paraId="03B89DE8" w14:textId="77777777" w:rsidR="00C0282B" w:rsidRPr="00C0282B" w:rsidRDefault="00C0282B" w:rsidP="00C0282B">
      <w:pPr>
        <w:numPr>
          <w:ilvl w:val="0"/>
          <w:numId w:val="24"/>
        </w:numPr>
        <w:spacing w:before="100" w:beforeAutospacing="1" w:after="100" w:afterAutospacing="1" w:line="240" w:lineRule="auto"/>
        <w:rPr>
          <w:sz w:val="24"/>
          <w:szCs w:val="24"/>
        </w:rPr>
      </w:pPr>
      <w:r w:rsidRPr="00C0282B">
        <w:rPr>
          <w:rStyle w:val="Strong"/>
          <w:sz w:val="24"/>
          <w:szCs w:val="24"/>
        </w:rPr>
        <w:t>Professional liability concerns:</w:t>
      </w:r>
      <w:r w:rsidRPr="00C0282B">
        <w:rPr>
          <w:sz w:val="24"/>
          <w:szCs w:val="24"/>
        </w:rPr>
        <w:t xml:space="preserve"> Extended retention may apply where professional liability risks exist</w:t>
      </w:r>
    </w:p>
    <w:p w14:paraId="5C8E7CBF" w14:textId="77777777" w:rsidR="00C0282B" w:rsidRPr="00C0282B" w:rsidRDefault="00C0282B" w:rsidP="00C0282B">
      <w:pPr>
        <w:numPr>
          <w:ilvl w:val="0"/>
          <w:numId w:val="24"/>
        </w:numPr>
        <w:spacing w:before="100" w:beforeAutospacing="1" w:after="100" w:afterAutospacing="1" w:line="240" w:lineRule="auto"/>
        <w:rPr>
          <w:sz w:val="24"/>
          <w:szCs w:val="24"/>
        </w:rPr>
      </w:pPr>
      <w:r w:rsidRPr="00C0282B">
        <w:rPr>
          <w:rStyle w:val="Strong"/>
          <w:sz w:val="24"/>
          <w:szCs w:val="24"/>
        </w:rPr>
        <w:t>Precedent value:</w:t>
      </w:r>
      <w:r w:rsidRPr="00C0282B">
        <w:rPr>
          <w:sz w:val="24"/>
          <w:szCs w:val="24"/>
        </w:rPr>
        <w:t xml:space="preserve"> Anonymized versions may be retained indefinitely for reference purposes</w:t>
      </w:r>
    </w:p>
    <w:p w14:paraId="61549B11" w14:textId="77777777" w:rsidR="00C0282B" w:rsidRPr="00C0282B" w:rsidRDefault="00C0282B" w:rsidP="00C0282B">
      <w:pPr>
        <w:pStyle w:val="Heading2"/>
        <w:rPr>
          <w:rFonts w:ascii="Arial" w:hAnsi="Arial" w:cs="Arial"/>
          <w:sz w:val="24"/>
          <w:szCs w:val="24"/>
        </w:rPr>
      </w:pPr>
      <w:r w:rsidRPr="00C0282B">
        <w:rPr>
          <w:rFonts w:ascii="Arial" w:hAnsi="Arial" w:cs="Arial"/>
          <w:sz w:val="24"/>
          <w:szCs w:val="24"/>
        </w:rPr>
        <w:lastRenderedPageBreak/>
        <w:t>6. Data Destruction</w:t>
      </w:r>
    </w:p>
    <w:p w14:paraId="05CDBE16" w14:textId="77777777" w:rsidR="00C0282B" w:rsidRPr="00C0282B" w:rsidRDefault="00C0282B" w:rsidP="00C0282B">
      <w:pPr>
        <w:pStyle w:val="Heading3"/>
        <w:rPr>
          <w:rFonts w:cs="Arial"/>
          <w:sz w:val="24"/>
          <w:szCs w:val="24"/>
        </w:rPr>
      </w:pPr>
      <w:r w:rsidRPr="00C0282B">
        <w:rPr>
          <w:rFonts w:cs="Arial"/>
          <w:sz w:val="24"/>
          <w:szCs w:val="24"/>
        </w:rPr>
        <w:t>6.1 Electronic Data Destruction</w:t>
      </w:r>
    </w:p>
    <w:p w14:paraId="4101FC7A" w14:textId="77777777" w:rsidR="00C0282B" w:rsidRPr="00C0282B" w:rsidRDefault="00C0282B" w:rsidP="00C0282B">
      <w:pPr>
        <w:pStyle w:val="NormalWeb"/>
        <w:rPr>
          <w:rFonts w:ascii="Arial" w:hAnsi="Arial" w:cs="Arial"/>
        </w:rPr>
      </w:pPr>
      <w:r w:rsidRPr="00C0282B">
        <w:rPr>
          <w:rFonts w:ascii="Arial" w:hAnsi="Arial" w:cs="Arial"/>
        </w:rPr>
        <w:t>Electronic data destruction must follow these procedures:</w:t>
      </w:r>
    </w:p>
    <w:p w14:paraId="043FADCA" w14:textId="77777777" w:rsidR="00C0282B" w:rsidRPr="00C0282B" w:rsidRDefault="00C0282B" w:rsidP="00C0282B">
      <w:pPr>
        <w:numPr>
          <w:ilvl w:val="0"/>
          <w:numId w:val="25"/>
        </w:numPr>
        <w:spacing w:before="100" w:beforeAutospacing="1" w:after="100" w:afterAutospacing="1" w:line="240" w:lineRule="auto"/>
        <w:rPr>
          <w:sz w:val="24"/>
          <w:szCs w:val="24"/>
        </w:rPr>
      </w:pPr>
      <w:r w:rsidRPr="00C0282B">
        <w:rPr>
          <w:sz w:val="24"/>
          <w:szCs w:val="24"/>
        </w:rPr>
        <w:t>Deletion from active systems using secure deletion methods</w:t>
      </w:r>
    </w:p>
    <w:p w14:paraId="19FACD37" w14:textId="77777777" w:rsidR="00C0282B" w:rsidRPr="00C0282B" w:rsidRDefault="00C0282B" w:rsidP="00C0282B">
      <w:pPr>
        <w:numPr>
          <w:ilvl w:val="0"/>
          <w:numId w:val="25"/>
        </w:numPr>
        <w:spacing w:before="100" w:beforeAutospacing="1" w:after="100" w:afterAutospacing="1" w:line="240" w:lineRule="auto"/>
        <w:rPr>
          <w:sz w:val="24"/>
          <w:szCs w:val="24"/>
        </w:rPr>
      </w:pPr>
      <w:r w:rsidRPr="00C0282B">
        <w:rPr>
          <w:sz w:val="24"/>
          <w:szCs w:val="24"/>
        </w:rPr>
        <w:t>Decommissioning of storage media using industry standards (e.g., DOD 5220.22-M)</w:t>
      </w:r>
    </w:p>
    <w:p w14:paraId="459F7E9D" w14:textId="77777777" w:rsidR="00C0282B" w:rsidRPr="00C0282B" w:rsidRDefault="00C0282B" w:rsidP="00C0282B">
      <w:pPr>
        <w:numPr>
          <w:ilvl w:val="0"/>
          <w:numId w:val="25"/>
        </w:numPr>
        <w:spacing w:before="100" w:beforeAutospacing="1" w:after="100" w:afterAutospacing="1" w:line="240" w:lineRule="auto"/>
        <w:rPr>
          <w:sz w:val="24"/>
          <w:szCs w:val="24"/>
        </w:rPr>
      </w:pPr>
      <w:r w:rsidRPr="00C0282B">
        <w:rPr>
          <w:sz w:val="24"/>
          <w:szCs w:val="24"/>
        </w:rPr>
        <w:t>Regular purging of backup systems according to backup rotation policy</w:t>
      </w:r>
    </w:p>
    <w:p w14:paraId="12C91964" w14:textId="77777777" w:rsidR="00C0282B" w:rsidRPr="00C0282B" w:rsidRDefault="00C0282B" w:rsidP="00C0282B">
      <w:pPr>
        <w:numPr>
          <w:ilvl w:val="0"/>
          <w:numId w:val="25"/>
        </w:numPr>
        <w:spacing w:before="100" w:beforeAutospacing="1" w:after="100" w:afterAutospacing="1" w:line="240" w:lineRule="auto"/>
        <w:rPr>
          <w:sz w:val="24"/>
          <w:szCs w:val="24"/>
        </w:rPr>
      </w:pPr>
      <w:r w:rsidRPr="00C0282B">
        <w:rPr>
          <w:sz w:val="24"/>
          <w:szCs w:val="24"/>
        </w:rPr>
        <w:t>Verification processes to confirm complete destruction</w:t>
      </w:r>
    </w:p>
    <w:p w14:paraId="47DFC853" w14:textId="77777777" w:rsidR="00C0282B" w:rsidRPr="00C0282B" w:rsidRDefault="00C0282B" w:rsidP="00C0282B">
      <w:pPr>
        <w:numPr>
          <w:ilvl w:val="0"/>
          <w:numId w:val="25"/>
        </w:numPr>
        <w:spacing w:before="100" w:beforeAutospacing="1" w:after="100" w:afterAutospacing="1" w:line="240" w:lineRule="auto"/>
        <w:rPr>
          <w:sz w:val="24"/>
          <w:szCs w:val="24"/>
        </w:rPr>
      </w:pPr>
      <w:r w:rsidRPr="00C0282B">
        <w:rPr>
          <w:sz w:val="24"/>
          <w:szCs w:val="24"/>
        </w:rPr>
        <w:t>Documentation of destruction in destruction logs</w:t>
      </w:r>
    </w:p>
    <w:p w14:paraId="6F14FE6D" w14:textId="77777777" w:rsidR="00C0282B" w:rsidRPr="00C0282B" w:rsidRDefault="00C0282B" w:rsidP="00C0282B">
      <w:pPr>
        <w:numPr>
          <w:ilvl w:val="0"/>
          <w:numId w:val="25"/>
        </w:numPr>
        <w:spacing w:before="100" w:beforeAutospacing="1" w:after="100" w:afterAutospacing="1" w:line="240" w:lineRule="auto"/>
        <w:rPr>
          <w:sz w:val="24"/>
          <w:szCs w:val="24"/>
        </w:rPr>
      </w:pPr>
      <w:r w:rsidRPr="00C0282B">
        <w:rPr>
          <w:sz w:val="24"/>
          <w:szCs w:val="24"/>
        </w:rPr>
        <w:t>Overwriting of data multiple times to prevent recovery</w:t>
      </w:r>
    </w:p>
    <w:p w14:paraId="1371997B" w14:textId="77777777" w:rsidR="00C0282B" w:rsidRPr="004D0A12" w:rsidRDefault="00C0282B" w:rsidP="00C0282B">
      <w:pPr>
        <w:pStyle w:val="Heading3"/>
        <w:rPr>
          <w:rFonts w:cs="Arial"/>
          <w:sz w:val="24"/>
          <w:szCs w:val="24"/>
          <w:lang w:val="fr-FR"/>
        </w:rPr>
      </w:pPr>
      <w:r w:rsidRPr="004D0A12">
        <w:rPr>
          <w:rFonts w:cs="Arial"/>
          <w:sz w:val="24"/>
          <w:szCs w:val="24"/>
          <w:lang w:val="fr-FR"/>
        </w:rPr>
        <w:t>6.2 Physical Document Destruction</w:t>
      </w:r>
    </w:p>
    <w:p w14:paraId="0819BD28" w14:textId="77777777" w:rsidR="00C0282B" w:rsidRPr="004D0A12" w:rsidRDefault="00C0282B" w:rsidP="00C0282B">
      <w:pPr>
        <w:pStyle w:val="NormalWeb"/>
        <w:rPr>
          <w:rFonts w:ascii="Arial" w:hAnsi="Arial" w:cs="Arial"/>
          <w:lang w:val="fr-FR"/>
        </w:rPr>
      </w:pPr>
      <w:r w:rsidRPr="004D0A12">
        <w:rPr>
          <w:rFonts w:ascii="Arial" w:hAnsi="Arial" w:cs="Arial"/>
          <w:lang w:val="fr-FR"/>
        </w:rPr>
        <w:t xml:space="preserve">Physical document destruction </w:t>
      </w:r>
      <w:proofErr w:type="spellStart"/>
      <w:r w:rsidRPr="004D0A12">
        <w:rPr>
          <w:rFonts w:ascii="Arial" w:hAnsi="Arial" w:cs="Arial"/>
          <w:lang w:val="fr-FR"/>
        </w:rPr>
        <w:t>requirements</w:t>
      </w:r>
      <w:proofErr w:type="spellEnd"/>
      <w:r w:rsidRPr="004D0A12">
        <w:rPr>
          <w:rFonts w:ascii="Arial" w:hAnsi="Arial" w:cs="Arial"/>
          <w:lang w:val="fr-FR"/>
        </w:rPr>
        <w:t>:</w:t>
      </w:r>
    </w:p>
    <w:p w14:paraId="5E7A6738" w14:textId="77777777" w:rsidR="00C0282B" w:rsidRPr="00C0282B" w:rsidRDefault="00C0282B" w:rsidP="00C0282B">
      <w:pPr>
        <w:numPr>
          <w:ilvl w:val="0"/>
          <w:numId w:val="26"/>
        </w:numPr>
        <w:spacing w:before="100" w:beforeAutospacing="1" w:after="100" w:afterAutospacing="1" w:line="240" w:lineRule="auto"/>
        <w:rPr>
          <w:sz w:val="24"/>
          <w:szCs w:val="24"/>
        </w:rPr>
      </w:pPr>
      <w:r w:rsidRPr="00C0282B">
        <w:rPr>
          <w:sz w:val="24"/>
          <w:szCs w:val="24"/>
        </w:rPr>
        <w:t>Paper shredding to at least Level P-4 (DIN 66399)</w:t>
      </w:r>
    </w:p>
    <w:p w14:paraId="18D6B852" w14:textId="77777777" w:rsidR="00C0282B" w:rsidRPr="00C0282B" w:rsidRDefault="00C0282B" w:rsidP="00C0282B">
      <w:pPr>
        <w:numPr>
          <w:ilvl w:val="0"/>
          <w:numId w:val="26"/>
        </w:numPr>
        <w:spacing w:before="100" w:beforeAutospacing="1" w:after="100" w:afterAutospacing="1" w:line="240" w:lineRule="auto"/>
        <w:rPr>
          <w:sz w:val="24"/>
          <w:szCs w:val="24"/>
        </w:rPr>
      </w:pPr>
      <w:r w:rsidRPr="00C0282B">
        <w:rPr>
          <w:sz w:val="24"/>
          <w:szCs w:val="24"/>
        </w:rPr>
        <w:t>Use of certified destruction service providers</w:t>
      </w:r>
    </w:p>
    <w:p w14:paraId="0069E7A0" w14:textId="77777777" w:rsidR="00C0282B" w:rsidRPr="00C0282B" w:rsidRDefault="00C0282B" w:rsidP="00C0282B">
      <w:pPr>
        <w:numPr>
          <w:ilvl w:val="0"/>
          <w:numId w:val="26"/>
        </w:numPr>
        <w:spacing w:before="100" w:beforeAutospacing="1" w:after="100" w:afterAutospacing="1" w:line="240" w:lineRule="auto"/>
        <w:rPr>
          <w:sz w:val="24"/>
          <w:szCs w:val="24"/>
        </w:rPr>
      </w:pPr>
      <w:r w:rsidRPr="00C0282B">
        <w:rPr>
          <w:sz w:val="24"/>
          <w:szCs w:val="24"/>
        </w:rPr>
        <w:t>Certificates of destruction to be maintained for audit purposes</w:t>
      </w:r>
    </w:p>
    <w:p w14:paraId="79E7A3B0" w14:textId="77777777" w:rsidR="00C0282B" w:rsidRPr="00C0282B" w:rsidRDefault="00C0282B" w:rsidP="00C0282B">
      <w:pPr>
        <w:numPr>
          <w:ilvl w:val="0"/>
          <w:numId w:val="26"/>
        </w:numPr>
        <w:spacing w:before="100" w:beforeAutospacing="1" w:after="100" w:afterAutospacing="1" w:line="240" w:lineRule="auto"/>
        <w:rPr>
          <w:sz w:val="24"/>
          <w:szCs w:val="24"/>
        </w:rPr>
      </w:pPr>
      <w:r w:rsidRPr="00C0282B">
        <w:rPr>
          <w:sz w:val="24"/>
          <w:szCs w:val="24"/>
        </w:rPr>
        <w:t>Secure storage pending destruction</w:t>
      </w:r>
    </w:p>
    <w:p w14:paraId="467F8A7A" w14:textId="77777777" w:rsidR="00C0282B" w:rsidRPr="00C0282B" w:rsidRDefault="00C0282B" w:rsidP="00C0282B">
      <w:pPr>
        <w:numPr>
          <w:ilvl w:val="0"/>
          <w:numId w:val="26"/>
        </w:numPr>
        <w:spacing w:before="100" w:beforeAutospacing="1" w:after="100" w:afterAutospacing="1" w:line="240" w:lineRule="auto"/>
        <w:rPr>
          <w:sz w:val="24"/>
          <w:szCs w:val="24"/>
        </w:rPr>
      </w:pPr>
      <w:r w:rsidRPr="00C0282B">
        <w:rPr>
          <w:sz w:val="24"/>
          <w:szCs w:val="24"/>
        </w:rPr>
        <w:t>On-site shredding for highly sensitive materials</w:t>
      </w:r>
    </w:p>
    <w:p w14:paraId="25F055FF" w14:textId="77777777" w:rsidR="00C0282B" w:rsidRPr="00C0282B" w:rsidRDefault="00C0282B" w:rsidP="00C0282B">
      <w:pPr>
        <w:numPr>
          <w:ilvl w:val="0"/>
          <w:numId w:val="26"/>
        </w:numPr>
        <w:spacing w:before="100" w:beforeAutospacing="1" w:after="100" w:afterAutospacing="1" w:line="240" w:lineRule="auto"/>
        <w:rPr>
          <w:sz w:val="24"/>
          <w:szCs w:val="24"/>
        </w:rPr>
      </w:pPr>
      <w:r w:rsidRPr="00C0282B">
        <w:rPr>
          <w:sz w:val="24"/>
          <w:szCs w:val="24"/>
        </w:rPr>
        <w:t>Witnessed destruction for confidential documents</w:t>
      </w:r>
    </w:p>
    <w:p w14:paraId="101FCBCA" w14:textId="77777777" w:rsidR="00C0282B" w:rsidRPr="00C0282B" w:rsidRDefault="00C0282B" w:rsidP="00C0282B">
      <w:pPr>
        <w:pStyle w:val="Heading3"/>
        <w:rPr>
          <w:rFonts w:cs="Arial"/>
          <w:sz w:val="24"/>
          <w:szCs w:val="24"/>
        </w:rPr>
      </w:pPr>
      <w:r w:rsidRPr="00C0282B">
        <w:rPr>
          <w:rFonts w:cs="Arial"/>
          <w:sz w:val="24"/>
          <w:szCs w:val="24"/>
        </w:rPr>
        <w:t>6.3 Third-Party Service Providers</w:t>
      </w:r>
    </w:p>
    <w:p w14:paraId="2ED9C80B" w14:textId="77777777" w:rsidR="00C0282B" w:rsidRPr="00C0282B" w:rsidRDefault="00C0282B" w:rsidP="00C0282B">
      <w:pPr>
        <w:pStyle w:val="NormalWeb"/>
        <w:rPr>
          <w:rFonts w:ascii="Arial" w:hAnsi="Arial" w:cs="Arial"/>
        </w:rPr>
      </w:pPr>
      <w:r w:rsidRPr="00C0282B">
        <w:rPr>
          <w:rFonts w:ascii="Arial" w:hAnsi="Arial" w:cs="Arial"/>
        </w:rPr>
        <w:t>When using third-party destruction services:</w:t>
      </w:r>
    </w:p>
    <w:p w14:paraId="73DC28A8" w14:textId="77777777" w:rsidR="00C0282B" w:rsidRPr="00C0282B" w:rsidRDefault="00C0282B" w:rsidP="00C0282B">
      <w:pPr>
        <w:numPr>
          <w:ilvl w:val="0"/>
          <w:numId w:val="27"/>
        </w:numPr>
        <w:spacing w:before="100" w:beforeAutospacing="1" w:after="100" w:afterAutospacing="1" w:line="240" w:lineRule="auto"/>
        <w:rPr>
          <w:sz w:val="24"/>
          <w:szCs w:val="24"/>
        </w:rPr>
      </w:pPr>
      <w:r w:rsidRPr="00C0282B">
        <w:rPr>
          <w:sz w:val="24"/>
          <w:szCs w:val="24"/>
        </w:rPr>
        <w:t>Contractual obligations for data destruction must be established</w:t>
      </w:r>
    </w:p>
    <w:p w14:paraId="6010ACFD" w14:textId="77777777" w:rsidR="00C0282B" w:rsidRPr="00C0282B" w:rsidRDefault="00C0282B" w:rsidP="00C0282B">
      <w:pPr>
        <w:numPr>
          <w:ilvl w:val="0"/>
          <w:numId w:val="27"/>
        </w:numPr>
        <w:spacing w:before="100" w:beforeAutospacing="1" w:after="100" w:afterAutospacing="1" w:line="240" w:lineRule="auto"/>
        <w:rPr>
          <w:sz w:val="24"/>
          <w:szCs w:val="24"/>
        </w:rPr>
      </w:pPr>
      <w:r w:rsidRPr="00C0282B">
        <w:rPr>
          <w:sz w:val="24"/>
          <w:szCs w:val="24"/>
        </w:rPr>
        <w:t>Right to audit destruction processes must be maintained</w:t>
      </w:r>
    </w:p>
    <w:p w14:paraId="7AC95EC4" w14:textId="77777777" w:rsidR="00C0282B" w:rsidRPr="00C0282B" w:rsidRDefault="00C0282B" w:rsidP="00C0282B">
      <w:pPr>
        <w:numPr>
          <w:ilvl w:val="0"/>
          <w:numId w:val="27"/>
        </w:numPr>
        <w:spacing w:before="100" w:beforeAutospacing="1" w:after="100" w:afterAutospacing="1" w:line="240" w:lineRule="auto"/>
        <w:rPr>
          <w:sz w:val="24"/>
          <w:szCs w:val="24"/>
        </w:rPr>
      </w:pPr>
      <w:r w:rsidRPr="00C0282B">
        <w:rPr>
          <w:sz w:val="24"/>
          <w:szCs w:val="24"/>
        </w:rPr>
        <w:t>Certification of destruction must be obtained</w:t>
      </w:r>
    </w:p>
    <w:p w14:paraId="1A4584E2" w14:textId="77777777" w:rsidR="00C0282B" w:rsidRPr="00C0282B" w:rsidRDefault="00C0282B" w:rsidP="00C0282B">
      <w:pPr>
        <w:numPr>
          <w:ilvl w:val="0"/>
          <w:numId w:val="27"/>
        </w:numPr>
        <w:spacing w:before="100" w:beforeAutospacing="1" w:after="100" w:afterAutospacing="1" w:line="240" w:lineRule="auto"/>
        <w:rPr>
          <w:sz w:val="24"/>
          <w:szCs w:val="24"/>
        </w:rPr>
      </w:pPr>
      <w:r w:rsidRPr="00C0282B">
        <w:rPr>
          <w:sz w:val="24"/>
          <w:szCs w:val="24"/>
        </w:rPr>
        <w:t>Regular compliance reviews must be conducted</w:t>
      </w:r>
    </w:p>
    <w:p w14:paraId="7807995B" w14:textId="77777777" w:rsidR="00C0282B" w:rsidRPr="00C0282B" w:rsidRDefault="00C0282B" w:rsidP="00C0282B">
      <w:pPr>
        <w:numPr>
          <w:ilvl w:val="0"/>
          <w:numId w:val="27"/>
        </w:numPr>
        <w:spacing w:before="100" w:beforeAutospacing="1" w:after="100" w:afterAutospacing="1" w:line="240" w:lineRule="auto"/>
        <w:rPr>
          <w:sz w:val="24"/>
          <w:szCs w:val="24"/>
        </w:rPr>
      </w:pPr>
      <w:r w:rsidRPr="00C0282B">
        <w:rPr>
          <w:sz w:val="24"/>
          <w:szCs w:val="24"/>
        </w:rPr>
        <w:t>Chain of custody documentation must be maintained</w:t>
      </w:r>
    </w:p>
    <w:p w14:paraId="56932E4B" w14:textId="77777777" w:rsidR="00C0282B" w:rsidRPr="00C0282B" w:rsidRDefault="00C0282B" w:rsidP="00C0282B">
      <w:pPr>
        <w:pStyle w:val="Heading2"/>
        <w:rPr>
          <w:rFonts w:ascii="Arial" w:hAnsi="Arial" w:cs="Arial"/>
          <w:sz w:val="24"/>
          <w:szCs w:val="24"/>
        </w:rPr>
      </w:pPr>
      <w:r w:rsidRPr="00C0282B">
        <w:rPr>
          <w:rFonts w:ascii="Arial" w:hAnsi="Arial" w:cs="Arial"/>
          <w:sz w:val="24"/>
          <w:szCs w:val="24"/>
        </w:rPr>
        <w:t>7. Documentation and Compliance</w:t>
      </w:r>
    </w:p>
    <w:p w14:paraId="6763E536" w14:textId="77777777" w:rsidR="00C0282B" w:rsidRPr="00C0282B" w:rsidRDefault="00C0282B" w:rsidP="00C0282B">
      <w:pPr>
        <w:pStyle w:val="Heading3"/>
        <w:rPr>
          <w:rFonts w:cs="Arial"/>
          <w:sz w:val="24"/>
          <w:szCs w:val="24"/>
        </w:rPr>
      </w:pPr>
      <w:r w:rsidRPr="00C0282B">
        <w:rPr>
          <w:rFonts w:cs="Arial"/>
          <w:sz w:val="24"/>
          <w:szCs w:val="24"/>
        </w:rPr>
        <w:t>7.1 Retention Documentation</w:t>
      </w:r>
    </w:p>
    <w:p w14:paraId="7E5D2D05" w14:textId="77777777" w:rsidR="00C0282B" w:rsidRPr="00C0282B" w:rsidRDefault="00C0282B" w:rsidP="00C0282B">
      <w:pPr>
        <w:pStyle w:val="NormalWeb"/>
        <w:rPr>
          <w:rFonts w:ascii="Arial" w:hAnsi="Arial" w:cs="Arial"/>
        </w:rPr>
      </w:pPr>
      <w:r w:rsidRPr="00C0282B">
        <w:rPr>
          <w:rFonts w:ascii="Arial" w:hAnsi="Arial" w:cs="Arial"/>
        </w:rPr>
        <w:t>The Firm shall maintain comprehensive records including:</w:t>
      </w:r>
    </w:p>
    <w:p w14:paraId="579501F1" w14:textId="77777777" w:rsidR="00C0282B" w:rsidRPr="00C0282B" w:rsidRDefault="00C0282B" w:rsidP="00C0282B">
      <w:pPr>
        <w:numPr>
          <w:ilvl w:val="0"/>
          <w:numId w:val="28"/>
        </w:numPr>
        <w:spacing w:before="100" w:beforeAutospacing="1" w:after="100" w:afterAutospacing="1" w:line="240" w:lineRule="auto"/>
        <w:rPr>
          <w:sz w:val="24"/>
          <w:szCs w:val="24"/>
        </w:rPr>
      </w:pPr>
      <w:r w:rsidRPr="00C0282B">
        <w:rPr>
          <w:sz w:val="24"/>
          <w:szCs w:val="24"/>
        </w:rPr>
        <w:t>Data inventory and retention schedule</w:t>
      </w:r>
    </w:p>
    <w:p w14:paraId="0A784E66" w14:textId="77777777" w:rsidR="00C0282B" w:rsidRPr="00C0282B" w:rsidRDefault="00C0282B" w:rsidP="00C0282B">
      <w:pPr>
        <w:numPr>
          <w:ilvl w:val="0"/>
          <w:numId w:val="28"/>
        </w:numPr>
        <w:spacing w:before="100" w:beforeAutospacing="1" w:after="100" w:afterAutospacing="1" w:line="240" w:lineRule="auto"/>
        <w:rPr>
          <w:sz w:val="24"/>
          <w:szCs w:val="24"/>
        </w:rPr>
      </w:pPr>
      <w:r w:rsidRPr="00C0282B">
        <w:rPr>
          <w:sz w:val="24"/>
          <w:szCs w:val="24"/>
        </w:rPr>
        <w:t>Destruction certificates and logs</w:t>
      </w:r>
    </w:p>
    <w:p w14:paraId="44645C59" w14:textId="77777777" w:rsidR="00C0282B" w:rsidRPr="00C0282B" w:rsidRDefault="00C0282B" w:rsidP="00C0282B">
      <w:pPr>
        <w:numPr>
          <w:ilvl w:val="0"/>
          <w:numId w:val="28"/>
        </w:numPr>
        <w:spacing w:before="100" w:beforeAutospacing="1" w:after="100" w:afterAutospacing="1" w:line="240" w:lineRule="auto"/>
        <w:rPr>
          <w:sz w:val="24"/>
          <w:szCs w:val="24"/>
        </w:rPr>
      </w:pPr>
      <w:r w:rsidRPr="00C0282B">
        <w:rPr>
          <w:sz w:val="24"/>
          <w:szCs w:val="24"/>
        </w:rPr>
        <w:t>Exception requests and approvals</w:t>
      </w:r>
    </w:p>
    <w:p w14:paraId="59378C23" w14:textId="77777777" w:rsidR="00C0282B" w:rsidRPr="00C0282B" w:rsidRDefault="00C0282B" w:rsidP="00C0282B">
      <w:pPr>
        <w:numPr>
          <w:ilvl w:val="0"/>
          <w:numId w:val="28"/>
        </w:numPr>
        <w:spacing w:before="100" w:beforeAutospacing="1" w:after="100" w:afterAutospacing="1" w:line="240" w:lineRule="auto"/>
        <w:rPr>
          <w:sz w:val="24"/>
          <w:szCs w:val="24"/>
        </w:rPr>
      </w:pPr>
      <w:r w:rsidRPr="00C0282B">
        <w:rPr>
          <w:sz w:val="24"/>
          <w:szCs w:val="24"/>
        </w:rPr>
        <w:t>Compliance audit reports</w:t>
      </w:r>
    </w:p>
    <w:p w14:paraId="4307F155" w14:textId="77777777" w:rsidR="00C0282B" w:rsidRPr="00C0282B" w:rsidRDefault="00C0282B" w:rsidP="00C0282B">
      <w:pPr>
        <w:numPr>
          <w:ilvl w:val="0"/>
          <w:numId w:val="28"/>
        </w:numPr>
        <w:spacing w:before="100" w:beforeAutospacing="1" w:after="100" w:afterAutospacing="1" w:line="240" w:lineRule="auto"/>
        <w:rPr>
          <w:sz w:val="24"/>
          <w:szCs w:val="24"/>
        </w:rPr>
      </w:pPr>
      <w:r w:rsidRPr="00C0282B">
        <w:rPr>
          <w:sz w:val="24"/>
          <w:szCs w:val="24"/>
        </w:rPr>
        <w:t>Training records and attendance logs</w:t>
      </w:r>
    </w:p>
    <w:p w14:paraId="22C222D2" w14:textId="77777777" w:rsidR="00C0282B" w:rsidRPr="00C0282B" w:rsidRDefault="00C0282B" w:rsidP="00C0282B">
      <w:pPr>
        <w:pStyle w:val="Heading3"/>
        <w:rPr>
          <w:rFonts w:cs="Arial"/>
          <w:sz w:val="24"/>
          <w:szCs w:val="24"/>
        </w:rPr>
      </w:pPr>
      <w:r w:rsidRPr="00C0282B">
        <w:rPr>
          <w:rFonts w:cs="Arial"/>
          <w:sz w:val="24"/>
          <w:szCs w:val="24"/>
        </w:rPr>
        <w:t>7.2 Regular Reviews</w:t>
      </w:r>
    </w:p>
    <w:p w14:paraId="0CBE9D12" w14:textId="77777777" w:rsidR="00C0282B" w:rsidRPr="00C0282B" w:rsidRDefault="00C0282B" w:rsidP="00C0282B">
      <w:pPr>
        <w:pStyle w:val="NormalWeb"/>
        <w:rPr>
          <w:rFonts w:ascii="Arial" w:hAnsi="Arial" w:cs="Arial"/>
        </w:rPr>
      </w:pPr>
      <w:r w:rsidRPr="00C0282B">
        <w:rPr>
          <w:rFonts w:ascii="Arial" w:hAnsi="Arial" w:cs="Arial"/>
        </w:rPr>
        <w:t>The following review schedule shall be maintained:</w:t>
      </w:r>
    </w:p>
    <w:p w14:paraId="079C79A9" w14:textId="77777777" w:rsidR="00C0282B" w:rsidRPr="00C0282B" w:rsidRDefault="00C0282B" w:rsidP="00C0282B">
      <w:pPr>
        <w:numPr>
          <w:ilvl w:val="0"/>
          <w:numId w:val="29"/>
        </w:numPr>
        <w:spacing w:before="100" w:beforeAutospacing="1" w:after="100" w:afterAutospacing="1" w:line="240" w:lineRule="auto"/>
        <w:rPr>
          <w:sz w:val="24"/>
          <w:szCs w:val="24"/>
        </w:rPr>
      </w:pPr>
      <w:r w:rsidRPr="00C0282B">
        <w:rPr>
          <w:rStyle w:val="Strong"/>
          <w:sz w:val="24"/>
          <w:szCs w:val="24"/>
        </w:rPr>
        <w:lastRenderedPageBreak/>
        <w:t>Annual review</w:t>
      </w:r>
      <w:r w:rsidRPr="00C0282B">
        <w:rPr>
          <w:sz w:val="24"/>
          <w:szCs w:val="24"/>
        </w:rPr>
        <w:t xml:space="preserve"> of retention schedules and policy effectiveness</w:t>
      </w:r>
    </w:p>
    <w:p w14:paraId="18F3EBC3" w14:textId="64816CB6" w:rsidR="00C0282B" w:rsidRPr="00C0282B" w:rsidRDefault="003D6704" w:rsidP="00C0282B">
      <w:pPr>
        <w:numPr>
          <w:ilvl w:val="0"/>
          <w:numId w:val="29"/>
        </w:numPr>
        <w:spacing w:before="100" w:beforeAutospacing="1" w:after="100" w:afterAutospacing="1" w:line="240" w:lineRule="auto"/>
        <w:rPr>
          <w:sz w:val="24"/>
          <w:szCs w:val="24"/>
        </w:rPr>
      </w:pPr>
      <w:r>
        <w:rPr>
          <w:rStyle w:val="Strong"/>
          <w:sz w:val="24"/>
          <w:szCs w:val="24"/>
        </w:rPr>
        <w:t>Regular</w:t>
      </w:r>
      <w:r w:rsidR="00C0282B" w:rsidRPr="00C0282B">
        <w:rPr>
          <w:rStyle w:val="Strong"/>
          <w:sz w:val="24"/>
          <w:szCs w:val="24"/>
        </w:rPr>
        <w:t xml:space="preserve"> compliance audits</w:t>
      </w:r>
      <w:r w:rsidR="00C0282B" w:rsidRPr="00C0282B">
        <w:rPr>
          <w:sz w:val="24"/>
          <w:szCs w:val="24"/>
        </w:rPr>
        <w:t xml:space="preserve"> to ensure adherence to procedures</w:t>
      </w:r>
    </w:p>
    <w:p w14:paraId="60A8677D" w14:textId="77777777" w:rsidR="00C0282B" w:rsidRPr="00C0282B" w:rsidRDefault="00C0282B" w:rsidP="00C0282B">
      <w:pPr>
        <w:numPr>
          <w:ilvl w:val="0"/>
          <w:numId w:val="29"/>
        </w:numPr>
        <w:spacing w:before="100" w:beforeAutospacing="1" w:after="100" w:afterAutospacing="1" w:line="240" w:lineRule="auto"/>
        <w:rPr>
          <w:sz w:val="24"/>
          <w:szCs w:val="24"/>
        </w:rPr>
      </w:pPr>
      <w:r w:rsidRPr="00C0282B">
        <w:rPr>
          <w:rStyle w:val="Strong"/>
          <w:sz w:val="24"/>
          <w:szCs w:val="24"/>
        </w:rPr>
        <w:t>Regular staff training</w:t>
      </w:r>
      <w:r w:rsidRPr="00C0282B">
        <w:rPr>
          <w:sz w:val="24"/>
          <w:szCs w:val="24"/>
        </w:rPr>
        <w:t xml:space="preserve"> on retention requirements and updates</w:t>
      </w:r>
    </w:p>
    <w:p w14:paraId="37970379" w14:textId="77777777" w:rsidR="00C0282B" w:rsidRPr="00C0282B" w:rsidRDefault="00C0282B" w:rsidP="00C0282B">
      <w:pPr>
        <w:numPr>
          <w:ilvl w:val="0"/>
          <w:numId w:val="29"/>
        </w:numPr>
        <w:spacing w:before="100" w:beforeAutospacing="1" w:after="100" w:afterAutospacing="1" w:line="240" w:lineRule="auto"/>
        <w:rPr>
          <w:sz w:val="24"/>
          <w:szCs w:val="24"/>
        </w:rPr>
      </w:pPr>
      <w:r w:rsidRPr="00C0282B">
        <w:rPr>
          <w:rStyle w:val="Strong"/>
          <w:sz w:val="24"/>
          <w:szCs w:val="24"/>
        </w:rPr>
        <w:t>Monthly monitoring</w:t>
      </w:r>
      <w:r w:rsidRPr="00C0282B">
        <w:rPr>
          <w:sz w:val="24"/>
          <w:szCs w:val="24"/>
        </w:rPr>
        <w:t xml:space="preserve"> of destruction activities and logs</w:t>
      </w:r>
    </w:p>
    <w:p w14:paraId="376D035D" w14:textId="77777777" w:rsidR="00C0282B" w:rsidRPr="00C0282B" w:rsidRDefault="00C0282B" w:rsidP="00C0282B">
      <w:pPr>
        <w:pStyle w:val="Heading2"/>
        <w:rPr>
          <w:rFonts w:ascii="Arial" w:hAnsi="Arial" w:cs="Arial"/>
          <w:sz w:val="24"/>
          <w:szCs w:val="24"/>
        </w:rPr>
      </w:pPr>
      <w:r w:rsidRPr="00C0282B">
        <w:rPr>
          <w:rFonts w:ascii="Arial" w:hAnsi="Arial" w:cs="Arial"/>
          <w:sz w:val="24"/>
          <w:szCs w:val="24"/>
        </w:rPr>
        <w:t>8. Data Subject Rights</w:t>
      </w:r>
    </w:p>
    <w:p w14:paraId="6C26C86C" w14:textId="77777777" w:rsidR="00C0282B" w:rsidRPr="00C0282B" w:rsidRDefault="00C0282B" w:rsidP="00C0282B">
      <w:pPr>
        <w:pStyle w:val="Heading3"/>
        <w:rPr>
          <w:rFonts w:cs="Arial"/>
          <w:sz w:val="24"/>
          <w:szCs w:val="24"/>
        </w:rPr>
      </w:pPr>
      <w:r w:rsidRPr="00C0282B">
        <w:rPr>
          <w:rFonts w:cs="Arial"/>
          <w:sz w:val="24"/>
          <w:szCs w:val="24"/>
        </w:rPr>
        <w:t>8.1 Right to Erasure</w:t>
      </w:r>
    </w:p>
    <w:p w14:paraId="26E3B592" w14:textId="4EFECD2D" w:rsidR="00C0282B" w:rsidRPr="00C0282B" w:rsidRDefault="00C0282B" w:rsidP="00C0282B">
      <w:pPr>
        <w:pStyle w:val="NormalWeb"/>
        <w:rPr>
          <w:rFonts w:ascii="Arial" w:hAnsi="Arial" w:cs="Arial"/>
        </w:rPr>
      </w:pPr>
      <w:r w:rsidRPr="00C0282B">
        <w:rPr>
          <w:rFonts w:ascii="Arial" w:hAnsi="Arial" w:cs="Arial"/>
        </w:rPr>
        <w:t xml:space="preserve">Requests for erasure will be handled according to the Firm's Data Subject </w:t>
      </w:r>
      <w:r w:rsidR="009D178B">
        <w:rPr>
          <w:rFonts w:ascii="Arial" w:hAnsi="Arial" w:cs="Arial"/>
        </w:rPr>
        <w:t xml:space="preserve">Access </w:t>
      </w:r>
      <w:r w:rsidRPr="00C0282B">
        <w:rPr>
          <w:rFonts w:ascii="Arial" w:hAnsi="Arial" w:cs="Arial"/>
        </w:rPr>
        <w:t xml:space="preserve">Rights </w:t>
      </w:r>
      <w:r w:rsidR="009D178B">
        <w:rPr>
          <w:rFonts w:ascii="Arial" w:hAnsi="Arial" w:cs="Arial"/>
        </w:rPr>
        <w:t>p</w:t>
      </w:r>
      <w:r w:rsidRPr="00C0282B">
        <w:rPr>
          <w:rFonts w:ascii="Arial" w:hAnsi="Arial" w:cs="Arial"/>
        </w:rPr>
        <w:t>rocedure, taking into account:</w:t>
      </w:r>
    </w:p>
    <w:p w14:paraId="08B96FE5" w14:textId="77777777" w:rsidR="00C0282B" w:rsidRPr="00C0282B" w:rsidRDefault="00C0282B" w:rsidP="00C0282B">
      <w:pPr>
        <w:numPr>
          <w:ilvl w:val="0"/>
          <w:numId w:val="30"/>
        </w:numPr>
        <w:spacing w:before="100" w:beforeAutospacing="1" w:after="100" w:afterAutospacing="1" w:line="240" w:lineRule="auto"/>
        <w:rPr>
          <w:sz w:val="24"/>
          <w:szCs w:val="24"/>
        </w:rPr>
      </w:pPr>
      <w:r w:rsidRPr="00C0282B">
        <w:rPr>
          <w:sz w:val="24"/>
          <w:szCs w:val="24"/>
        </w:rPr>
        <w:t>Legal and professional obligations to retain certain data</w:t>
      </w:r>
    </w:p>
    <w:p w14:paraId="4D064D1A" w14:textId="77777777" w:rsidR="00C0282B" w:rsidRPr="00C0282B" w:rsidRDefault="00C0282B" w:rsidP="00C0282B">
      <w:pPr>
        <w:numPr>
          <w:ilvl w:val="0"/>
          <w:numId w:val="30"/>
        </w:numPr>
        <w:spacing w:before="100" w:beforeAutospacing="1" w:after="100" w:afterAutospacing="1" w:line="240" w:lineRule="auto"/>
        <w:rPr>
          <w:sz w:val="24"/>
          <w:szCs w:val="24"/>
        </w:rPr>
      </w:pPr>
      <w:r w:rsidRPr="00C0282B">
        <w:rPr>
          <w:sz w:val="24"/>
          <w:szCs w:val="24"/>
        </w:rPr>
        <w:t>Legitimate interests for retention</w:t>
      </w:r>
    </w:p>
    <w:p w14:paraId="05C8BF08" w14:textId="77777777" w:rsidR="00C0282B" w:rsidRPr="00C0282B" w:rsidRDefault="00C0282B" w:rsidP="00C0282B">
      <w:pPr>
        <w:numPr>
          <w:ilvl w:val="0"/>
          <w:numId w:val="30"/>
        </w:numPr>
        <w:spacing w:before="100" w:beforeAutospacing="1" w:after="100" w:afterAutospacing="1" w:line="240" w:lineRule="auto"/>
        <w:rPr>
          <w:sz w:val="24"/>
          <w:szCs w:val="24"/>
        </w:rPr>
      </w:pPr>
      <w:r w:rsidRPr="00C0282B">
        <w:rPr>
          <w:sz w:val="24"/>
          <w:szCs w:val="24"/>
        </w:rPr>
        <w:t>Technical limitations and feasibility</w:t>
      </w:r>
    </w:p>
    <w:p w14:paraId="01554E8E" w14:textId="77777777" w:rsidR="00C0282B" w:rsidRPr="00C0282B" w:rsidRDefault="00C0282B" w:rsidP="00C0282B">
      <w:pPr>
        <w:numPr>
          <w:ilvl w:val="0"/>
          <w:numId w:val="30"/>
        </w:numPr>
        <w:spacing w:before="100" w:beforeAutospacing="1" w:after="100" w:afterAutospacing="1" w:line="240" w:lineRule="auto"/>
        <w:rPr>
          <w:sz w:val="24"/>
          <w:szCs w:val="24"/>
        </w:rPr>
      </w:pPr>
      <w:r w:rsidRPr="00C0282B">
        <w:rPr>
          <w:sz w:val="24"/>
          <w:szCs w:val="24"/>
        </w:rPr>
        <w:t>Contractual obligations to clients or third parties</w:t>
      </w:r>
    </w:p>
    <w:p w14:paraId="40B35D5A" w14:textId="77777777" w:rsidR="00C0282B" w:rsidRPr="00C0282B" w:rsidRDefault="00C0282B" w:rsidP="00C0282B">
      <w:pPr>
        <w:numPr>
          <w:ilvl w:val="0"/>
          <w:numId w:val="30"/>
        </w:numPr>
        <w:spacing w:before="100" w:beforeAutospacing="1" w:after="100" w:afterAutospacing="1" w:line="240" w:lineRule="auto"/>
        <w:rPr>
          <w:sz w:val="24"/>
          <w:szCs w:val="24"/>
        </w:rPr>
      </w:pPr>
      <w:r w:rsidRPr="00C0282B">
        <w:rPr>
          <w:sz w:val="24"/>
          <w:szCs w:val="24"/>
        </w:rPr>
        <w:t>Regulatory requirements and professional standards</w:t>
      </w:r>
    </w:p>
    <w:p w14:paraId="3C110F47" w14:textId="77777777" w:rsidR="00C0282B" w:rsidRPr="00C0282B" w:rsidRDefault="00C0282B" w:rsidP="00C0282B">
      <w:pPr>
        <w:pStyle w:val="Heading3"/>
        <w:rPr>
          <w:rFonts w:cs="Arial"/>
          <w:sz w:val="24"/>
          <w:szCs w:val="24"/>
        </w:rPr>
      </w:pPr>
      <w:r w:rsidRPr="00C0282B">
        <w:rPr>
          <w:rFonts w:cs="Arial"/>
          <w:sz w:val="24"/>
          <w:szCs w:val="24"/>
        </w:rPr>
        <w:t>8.2 Right to Access</w:t>
      </w:r>
    </w:p>
    <w:p w14:paraId="7583E3F7" w14:textId="77777777" w:rsidR="00C0282B" w:rsidRPr="00C0282B" w:rsidRDefault="00C0282B" w:rsidP="00C0282B">
      <w:pPr>
        <w:pStyle w:val="NormalWeb"/>
        <w:rPr>
          <w:rFonts w:ascii="Arial" w:hAnsi="Arial" w:cs="Arial"/>
        </w:rPr>
      </w:pPr>
      <w:r w:rsidRPr="00C0282B">
        <w:rPr>
          <w:rFonts w:ascii="Arial" w:hAnsi="Arial" w:cs="Arial"/>
        </w:rPr>
        <w:t>Data subjects have the right to access their personal data, including:</w:t>
      </w:r>
    </w:p>
    <w:p w14:paraId="5FCD7E61" w14:textId="77777777" w:rsidR="00C0282B" w:rsidRPr="00C0282B" w:rsidRDefault="00C0282B" w:rsidP="00C0282B">
      <w:pPr>
        <w:numPr>
          <w:ilvl w:val="0"/>
          <w:numId w:val="31"/>
        </w:numPr>
        <w:spacing w:before="100" w:beforeAutospacing="1" w:after="100" w:afterAutospacing="1" w:line="240" w:lineRule="auto"/>
        <w:rPr>
          <w:sz w:val="24"/>
          <w:szCs w:val="24"/>
        </w:rPr>
      </w:pPr>
      <w:r w:rsidRPr="00C0282B">
        <w:rPr>
          <w:sz w:val="24"/>
          <w:szCs w:val="24"/>
        </w:rPr>
        <w:t>Information about retention periods applicable to their data</w:t>
      </w:r>
    </w:p>
    <w:p w14:paraId="69762E9F" w14:textId="77777777" w:rsidR="00C0282B" w:rsidRPr="00C0282B" w:rsidRDefault="00C0282B" w:rsidP="00C0282B">
      <w:pPr>
        <w:numPr>
          <w:ilvl w:val="0"/>
          <w:numId w:val="31"/>
        </w:numPr>
        <w:spacing w:before="100" w:beforeAutospacing="1" w:after="100" w:afterAutospacing="1" w:line="240" w:lineRule="auto"/>
        <w:rPr>
          <w:sz w:val="24"/>
          <w:szCs w:val="24"/>
        </w:rPr>
      </w:pPr>
      <w:r w:rsidRPr="00C0282B">
        <w:rPr>
          <w:sz w:val="24"/>
          <w:szCs w:val="24"/>
        </w:rPr>
        <w:t>Rationale for retention decisions</w:t>
      </w:r>
    </w:p>
    <w:p w14:paraId="75E76C5D" w14:textId="77777777" w:rsidR="00C0282B" w:rsidRPr="00C0282B" w:rsidRDefault="00C0282B" w:rsidP="00C0282B">
      <w:pPr>
        <w:numPr>
          <w:ilvl w:val="0"/>
          <w:numId w:val="31"/>
        </w:numPr>
        <w:spacing w:before="100" w:beforeAutospacing="1" w:after="100" w:afterAutospacing="1" w:line="240" w:lineRule="auto"/>
        <w:rPr>
          <w:sz w:val="24"/>
          <w:szCs w:val="24"/>
        </w:rPr>
      </w:pPr>
      <w:r w:rsidRPr="00C0282B">
        <w:rPr>
          <w:sz w:val="24"/>
          <w:szCs w:val="24"/>
        </w:rPr>
        <w:t>Expected deletion dates where applicable</w:t>
      </w:r>
    </w:p>
    <w:p w14:paraId="4A352D7C" w14:textId="77777777" w:rsidR="00C0282B" w:rsidRPr="00C0282B" w:rsidRDefault="00C0282B" w:rsidP="00C0282B">
      <w:pPr>
        <w:numPr>
          <w:ilvl w:val="0"/>
          <w:numId w:val="31"/>
        </w:numPr>
        <w:spacing w:before="100" w:beforeAutospacing="1" w:after="100" w:afterAutospacing="1" w:line="240" w:lineRule="auto"/>
        <w:rPr>
          <w:sz w:val="24"/>
          <w:szCs w:val="24"/>
        </w:rPr>
      </w:pPr>
      <w:r w:rsidRPr="00C0282B">
        <w:rPr>
          <w:sz w:val="24"/>
          <w:szCs w:val="24"/>
        </w:rPr>
        <w:t>Details of any exceptions to standard retention periods</w:t>
      </w:r>
    </w:p>
    <w:p w14:paraId="751ED811" w14:textId="77777777" w:rsidR="00C0282B" w:rsidRPr="00C0282B" w:rsidRDefault="00C0282B" w:rsidP="00C0282B">
      <w:pPr>
        <w:pStyle w:val="Heading2"/>
        <w:rPr>
          <w:rFonts w:ascii="Arial" w:hAnsi="Arial" w:cs="Arial"/>
          <w:sz w:val="24"/>
          <w:szCs w:val="24"/>
        </w:rPr>
      </w:pPr>
      <w:r w:rsidRPr="00C0282B">
        <w:rPr>
          <w:rFonts w:ascii="Arial" w:hAnsi="Arial" w:cs="Arial"/>
          <w:sz w:val="24"/>
          <w:szCs w:val="24"/>
        </w:rPr>
        <w:t>9. Archiving</w:t>
      </w:r>
    </w:p>
    <w:p w14:paraId="3B540534" w14:textId="77777777" w:rsidR="00C0282B" w:rsidRPr="00C0282B" w:rsidRDefault="00C0282B" w:rsidP="00C0282B">
      <w:pPr>
        <w:pStyle w:val="Heading3"/>
        <w:rPr>
          <w:rFonts w:cs="Arial"/>
          <w:sz w:val="24"/>
          <w:szCs w:val="24"/>
        </w:rPr>
      </w:pPr>
      <w:r w:rsidRPr="00C0282B">
        <w:rPr>
          <w:rFonts w:cs="Arial"/>
          <w:sz w:val="24"/>
          <w:szCs w:val="24"/>
        </w:rPr>
        <w:t>9.1 Archiving Process</w:t>
      </w:r>
    </w:p>
    <w:p w14:paraId="21586D7D" w14:textId="77777777" w:rsidR="00C0282B" w:rsidRPr="00C0282B" w:rsidRDefault="00C0282B" w:rsidP="00C0282B">
      <w:pPr>
        <w:pStyle w:val="NormalWeb"/>
        <w:rPr>
          <w:rFonts w:ascii="Arial" w:hAnsi="Arial" w:cs="Arial"/>
        </w:rPr>
      </w:pPr>
      <w:r w:rsidRPr="00C0282B">
        <w:rPr>
          <w:rFonts w:ascii="Arial" w:hAnsi="Arial" w:cs="Arial"/>
        </w:rPr>
        <w:t>Data archiving procedures include:</w:t>
      </w:r>
    </w:p>
    <w:p w14:paraId="586D26D5" w14:textId="77777777" w:rsidR="00C0282B" w:rsidRPr="00C0282B" w:rsidRDefault="00C0282B" w:rsidP="00C0282B">
      <w:pPr>
        <w:numPr>
          <w:ilvl w:val="0"/>
          <w:numId w:val="32"/>
        </w:numPr>
        <w:spacing w:before="100" w:beforeAutospacing="1" w:after="100" w:afterAutospacing="1" w:line="240" w:lineRule="auto"/>
        <w:rPr>
          <w:sz w:val="24"/>
          <w:szCs w:val="24"/>
        </w:rPr>
      </w:pPr>
      <w:r w:rsidRPr="00C0282B">
        <w:rPr>
          <w:sz w:val="24"/>
          <w:szCs w:val="24"/>
        </w:rPr>
        <w:t>Transfer of data not actively needed but within retention period to archive systems</w:t>
      </w:r>
    </w:p>
    <w:p w14:paraId="6E778BB9" w14:textId="77777777" w:rsidR="00C0282B" w:rsidRPr="00C0282B" w:rsidRDefault="00C0282B" w:rsidP="00C0282B">
      <w:pPr>
        <w:numPr>
          <w:ilvl w:val="0"/>
          <w:numId w:val="32"/>
        </w:numPr>
        <w:spacing w:before="100" w:beforeAutospacing="1" w:after="100" w:afterAutospacing="1" w:line="240" w:lineRule="auto"/>
        <w:rPr>
          <w:sz w:val="24"/>
          <w:szCs w:val="24"/>
        </w:rPr>
      </w:pPr>
      <w:r w:rsidRPr="00C0282B">
        <w:rPr>
          <w:sz w:val="24"/>
          <w:szCs w:val="24"/>
        </w:rPr>
        <w:t>Archive access limited to authorized personnel only</w:t>
      </w:r>
    </w:p>
    <w:p w14:paraId="7B3829F2" w14:textId="77777777" w:rsidR="00C0282B" w:rsidRPr="00C0282B" w:rsidRDefault="00C0282B" w:rsidP="00C0282B">
      <w:pPr>
        <w:numPr>
          <w:ilvl w:val="0"/>
          <w:numId w:val="32"/>
        </w:numPr>
        <w:spacing w:before="100" w:beforeAutospacing="1" w:after="100" w:afterAutospacing="1" w:line="240" w:lineRule="auto"/>
        <w:rPr>
          <w:sz w:val="24"/>
          <w:szCs w:val="24"/>
        </w:rPr>
      </w:pPr>
      <w:r w:rsidRPr="00C0282B">
        <w:rPr>
          <w:sz w:val="24"/>
          <w:szCs w:val="24"/>
        </w:rPr>
        <w:t>Regular integrity checks of archived data</w:t>
      </w:r>
    </w:p>
    <w:p w14:paraId="34AE1EC7" w14:textId="77777777" w:rsidR="00C0282B" w:rsidRPr="00C0282B" w:rsidRDefault="00C0282B" w:rsidP="00C0282B">
      <w:pPr>
        <w:numPr>
          <w:ilvl w:val="0"/>
          <w:numId w:val="32"/>
        </w:numPr>
        <w:spacing w:before="100" w:beforeAutospacing="1" w:after="100" w:afterAutospacing="1" w:line="240" w:lineRule="auto"/>
        <w:rPr>
          <w:sz w:val="24"/>
          <w:szCs w:val="24"/>
        </w:rPr>
      </w:pPr>
      <w:r w:rsidRPr="00C0282B">
        <w:rPr>
          <w:sz w:val="24"/>
          <w:szCs w:val="24"/>
        </w:rPr>
        <w:t>Clear restoration procedures for archived data</w:t>
      </w:r>
    </w:p>
    <w:p w14:paraId="16DF877F" w14:textId="77777777" w:rsidR="00C0282B" w:rsidRPr="00C0282B" w:rsidRDefault="00C0282B" w:rsidP="00C0282B">
      <w:pPr>
        <w:numPr>
          <w:ilvl w:val="0"/>
          <w:numId w:val="32"/>
        </w:numPr>
        <w:spacing w:before="100" w:beforeAutospacing="1" w:after="100" w:afterAutospacing="1" w:line="240" w:lineRule="auto"/>
        <w:rPr>
          <w:sz w:val="24"/>
          <w:szCs w:val="24"/>
        </w:rPr>
      </w:pPr>
      <w:r w:rsidRPr="00C0282B">
        <w:rPr>
          <w:sz w:val="24"/>
          <w:szCs w:val="24"/>
        </w:rPr>
        <w:t>Documented chain of custody for archived materials</w:t>
      </w:r>
    </w:p>
    <w:p w14:paraId="185DC664" w14:textId="77777777" w:rsidR="00C0282B" w:rsidRPr="00C0282B" w:rsidRDefault="00C0282B" w:rsidP="00C0282B">
      <w:pPr>
        <w:pStyle w:val="Heading3"/>
        <w:rPr>
          <w:rFonts w:cs="Arial"/>
          <w:sz w:val="24"/>
          <w:szCs w:val="24"/>
        </w:rPr>
      </w:pPr>
      <w:r w:rsidRPr="00C0282B">
        <w:rPr>
          <w:rFonts w:cs="Arial"/>
          <w:sz w:val="24"/>
          <w:szCs w:val="24"/>
        </w:rPr>
        <w:t>9.2 Archive Security</w:t>
      </w:r>
    </w:p>
    <w:p w14:paraId="6090A718" w14:textId="77777777" w:rsidR="00C0282B" w:rsidRPr="00C0282B" w:rsidRDefault="00C0282B" w:rsidP="00C0282B">
      <w:pPr>
        <w:pStyle w:val="NormalWeb"/>
        <w:rPr>
          <w:rFonts w:ascii="Arial" w:hAnsi="Arial" w:cs="Arial"/>
        </w:rPr>
      </w:pPr>
      <w:r w:rsidRPr="00C0282B">
        <w:rPr>
          <w:rFonts w:ascii="Arial" w:hAnsi="Arial" w:cs="Arial"/>
        </w:rPr>
        <w:t>Archive security measures include:</w:t>
      </w:r>
    </w:p>
    <w:p w14:paraId="28672979" w14:textId="77777777" w:rsidR="00C0282B" w:rsidRPr="00C0282B" w:rsidRDefault="00C0282B" w:rsidP="00C0282B">
      <w:pPr>
        <w:numPr>
          <w:ilvl w:val="0"/>
          <w:numId w:val="33"/>
        </w:numPr>
        <w:spacing w:before="100" w:beforeAutospacing="1" w:after="100" w:afterAutospacing="1" w:line="240" w:lineRule="auto"/>
        <w:rPr>
          <w:sz w:val="24"/>
          <w:szCs w:val="24"/>
        </w:rPr>
      </w:pPr>
      <w:r w:rsidRPr="00C0282B">
        <w:rPr>
          <w:sz w:val="24"/>
          <w:szCs w:val="24"/>
        </w:rPr>
        <w:t>Encryption of archived electronic data</w:t>
      </w:r>
    </w:p>
    <w:p w14:paraId="18AED410" w14:textId="77777777" w:rsidR="00C0282B" w:rsidRPr="00C0282B" w:rsidRDefault="00C0282B" w:rsidP="00C0282B">
      <w:pPr>
        <w:numPr>
          <w:ilvl w:val="0"/>
          <w:numId w:val="33"/>
        </w:numPr>
        <w:spacing w:before="100" w:beforeAutospacing="1" w:after="100" w:afterAutospacing="1" w:line="240" w:lineRule="auto"/>
        <w:rPr>
          <w:sz w:val="24"/>
          <w:szCs w:val="24"/>
        </w:rPr>
      </w:pPr>
      <w:r w:rsidRPr="00C0282B">
        <w:rPr>
          <w:sz w:val="24"/>
          <w:szCs w:val="24"/>
        </w:rPr>
        <w:t>Physical security for stored media and documents</w:t>
      </w:r>
    </w:p>
    <w:p w14:paraId="060A19C5" w14:textId="77777777" w:rsidR="00C0282B" w:rsidRPr="00C0282B" w:rsidRDefault="00C0282B" w:rsidP="00C0282B">
      <w:pPr>
        <w:numPr>
          <w:ilvl w:val="0"/>
          <w:numId w:val="33"/>
        </w:numPr>
        <w:spacing w:before="100" w:beforeAutospacing="1" w:after="100" w:afterAutospacing="1" w:line="240" w:lineRule="auto"/>
        <w:rPr>
          <w:sz w:val="24"/>
          <w:szCs w:val="24"/>
        </w:rPr>
      </w:pPr>
      <w:r w:rsidRPr="00C0282B">
        <w:rPr>
          <w:sz w:val="24"/>
          <w:szCs w:val="24"/>
        </w:rPr>
        <w:t>Access logging and monitoring systems</w:t>
      </w:r>
    </w:p>
    <w:p w14:paraId="4C8B57A2" w14:textId="77777777" w:rsidR="00C0282B" w:rsidRPr="00C0282B" w:rsidRDefault="00C0282B" w:rsidP="00C0282B">
      <w:pPr>
        <w:numPr>
          <w:ilvl w:val="0"/>
          <w:numId w:val="33"/>
        </w:numPr>
        <w:spacing w:before="100" w:beforeAutospacing="1" w:after="100" w:afterAutospacing="1" w:line="240" w:lineRule="auto"/>
        <w:rPr>
          <w:sz w:val="24"/>
          <w:szCs w:val="24"/>
        </w:rPr>
      </w:pPr>
      <w:r w:rsidRPr="00C0282B">
        <w:rPr>
          <w:sz w:val="24"/>
          <w:szCs w:val="24"/>
        </w:rPr>
        <w:t>Regular security assessments and updates</w:t>
      </w:r>
    </w:p>
    <w:p w14:paraId="18ADBD1E" w14:textId="77777777" w:rsidR="00C0282B" w:rsidRPr="00C0282B" w:rsidRDefault="00C0282B" w:rsidP="00C0282B">
      <w:pPr>
        <w:numPr>
          <w:ilvl w:val="0"/>
          <w:numId w:val="33"/>
        </w:numPr>
        <w:spacing w:before="100" w:beforeAutospacing="1" w:after="100" w:afterAutospacing="1" w:line="240" w:lineRule="auto"/>
        <w:rPr>
          <w:sz w:val="24"/>
          <w:szCs w:val="24"/>
        </w:rPr>
      </w:pPr>
      <w:r w:rsidRPr="00C0282B">
        <w:rPr>
          <w:sz w:val="24"/>
          <w:szCs w:val="24"/>
        </w:rPr>
        <w:t>Environmental controls for physical storage areas</w:t>
      </w:r>
    </w:p>
    <w:p w14:paraId="5C3CE484" w14:textId="77777777" w:rsidR="00C0282B" w:rsidRPr="00C0282B" w:rsidRDefault="00C0282B" w:rsidP="00C0282B">
      <w:pPr>
        <w:pStyle w:val="Heading2"/>
        <w:rPr>
          <w:rFonts w:ascii="Arial" w:hAnsi="Arial" w:cs="Arial"/>
          <w:sz w:val="24"/>
          <w:szCs w:val="24"/>
        </w:rPr>
      </w:pPr>
      <w:r w:rsidRPr="00C0282B">
        <w:rPr>
          <w:rFonts w:ascii="Arial" w:hAnsi="Arial" w:cs="Arial"/>
          <w:sz w:val="24"/>
          <w:szCs w:val="24"/>
        </w:rPr>
        <w:lastRenderedPageBreak/>
        <w:t>10. Training and Awareness</w:t>
      </w:r>
    </w:p>
    <w:p w14:paraId="271773C5" w14:textId="77777777" w:rsidR="00C0282B" w:rsidRPr="00C0282B" w:rsidRDefault="00C0282B" w:rsidP="00C0282B">
      <w:pPr>
        <w:pStyle w:val="Heading3"/>
        <w:rPr>
          <w:rFonts w:cs="Arial"/>
          <w:sz w:val="24"/>
          <w:szCs w:val="24"/>
        </w:rPr>
      </w:pPr>
      <w:r w:rsidRPr="00C0282B">
        <w:rPr>
          <w:rFonts w:cs="Arial"/>
          <w:sz w:val="24"/>
          <w:szCs w:val="24"/>
        </w:rPr>
        <w:t>10.1 Training Requirements</w:t>
      </w:r>
    </w:p>
    <w:p w14:paraId="49C121E9" w14:textId="3A3759C8" w:rsidR="00C0282B" w:rsidRPr="00C0282B" w:rsidRDefault="00C0282B" w:rsidP="00C0282B">
      <w:pPr>
        <w:pStyle w:val="NormalWeb"/>
        <w:rPr>
          <w:rFonts w:ascii="Arial" w:hAnsi="Arial" w:cs="Arial"/>
        </w:rPr>
      </w:pPr>
      <w:r w:rsidRPr="00C0282B">
        <w:rPr>
          <w:rFonts w:ascii="Arial" w:hAnsi="Arial" w:cs="Arial"/>
        </w:rPr>
        <w:t xml:space="preserve">All staff </w:t>
      </w:r>
      <w:r w:rsidR="008E36D5">
        <w:rPr>
          <w:rFonts w:ascii="Arial" w:hAnsi="Arial" w:cs="Arial"/>
        </w:rPr>
        <w:t>should</w:t>
      </w:r>
      <w:r w:rsidRPr="00C0282B">
        <w:rPr>
          <w:rFonts w:ascii="Arial" w:hAnsi="Arial" w:cs="Arial"/>
        </w:rPr>
        <w:t xml:space="preserve"> receive:</w:t>
      </w:r>
    </w:p>
    <w:p w14:paraId="113EBD37" w14:textId="77777777" w:rsidR="00C0282B" w:rsidRPr="00C0282B" w:rsidRDefault="00C0282B" w:rsidP="00C0282B">
      <w:pPr>
        <w:numPr>
          <w:ilvl w:val="0"/>
          <w:numId w:val="34"/>
        </w:numPr>
        <w:spacing w:before="100" w:beforeAutospacing="1" w:after="100" w:afterAutospacing="1" w:line="240" w:lineRule="auto"/>
        <w:rPr>
          <w:sz w:val="24"/>
          <w:szCs w:val="24"/>
        </w:rPr>
      </w:pPr>
      <w:r w:rsidRPr="00C0282B">
        <w:rPr>
          <w:sz w:val="24"/>
          <w:szCs w:val="24"/>
        </w:rPr>
        <w:t>Initial training on this policy during onboarding</w:t>
      </w:r>
    </w:p>
    <w:p w14:paraId="2EEDAB17" w14:textId="77777777" w:rsidR="00C0282B" w:rsidRPr="00C0282B" w:rsidRDefault="00C0282B" w:rsidP="00C0282B">
      <w:pPr>
        <w:numPr>
          <w:ilvl w:val="0"/>
          <w:numId w:val="34"/>
        </w:numPr>
        <w:spacing w:before="100" w:beforeAutospacing="1" w:after="100" w:afterAutospacing="1" w:line="240" w:lineRule="auto"/>
        <w:rPr>
          <w:sz w:val="24"/>
          <w:szCs w:val="24"/>
        </w:rPr>
      </w:pPr>
      <w:r w:rsidRPr="00C0282B">
        <w:rPr>
          <w:sz w:val="24"/>
          <w:szCs w:val="24"/>
        </w:rPr>
        <w:t>Annual refresher training on retention requirements</w:t>
      </w:r>
    </w:p>
    <w:p w14:paraId="6EC96F76" w14:textId="77777777" w:rsidR="00C0282B" w:rsidRPr="00C0282B" w:rsidRDefault="00C0282B" w:rsidP="00C0282B">
      <w:pPr>
        <w:numPr>
          <w:ilvl w:val="0"/>
          <w:numId w:val="34"/>
        </w:numPr>
        <w:spacing w:before="100" w:beforeAutospacing="1" w:after="100" w:afterAutospacing="1" w:line="240" w:lineRule="auto"/>
        <w:rPr>
          <w:sz w:val="24"/>
          <w:szCs w:val="24"/>
        </w:rPr>
      </w:pPr>
      <w:r w:rsidRPr="00C0282B">
        <w:rPr>
          <w:sz w:val="24"/>
          <w:szCs w:val="24"/>
        </w:rPr>
        <w:t>Department-specific training based on data handling responsibilities</w:t>
      </w:r>
    </w:p>
    <w:p w14:paraId="40C60777" w14:textId="4B46A45D" w:rsidR="00C0282B" w:rsidRPr="00C0282B" w:rsidRDefault="008E36D5" w:rsidP="00C0282B">
      <w:pPr>
        <w:numPr>
          <w:ilvl w:val="0"/>
          <w:numId w:val="34"/>
        </w:numPr>
        <w:spacing w:before="100" w:beforeAutospacing="1" w:after="100" w:afterAutospacing="1" w:line="240" w:lineRule="auto"/>
        <w:rPr>
          <w:sz w:val="24"/>
          <w:szCs w:val="24"/>
        </w:rPr>
      </w:pPr>
      <w:r>
        <w:rPr>
          <w:sz w:val="24"/>
          <w:szCs w:val="24"/>
        </w:rPr>
        <w:t>C</w:t>
      </w:r>
      <w:r w:rsidR="00C0282B" w:rsidRPr="00C0282B">
        <w:rPr>
          <w:sz w:val="24"/>
          <w:szCs w:val="24"/>
        </w:rPr>
        <w:t>ommunication on policy updates and changes</w:t>
      </w:r>
    </w:p>
    <w:p w14:paraId="081934FA" w14:textId="77777777" w:rsidR="00C0282B" w:rsidRPr="00C0282B" w:rsidRDefault="00C0282B" w:rsidP="00C0282B">
      <w:pPr>
        <w:numPr>
          <w:ilvl w:val="0"/>
          <w:numId w:val="34"/>
        </w:numPr>
        <w:spacing w:before="100" w:beforeAutospacing="1" w:after="100" w:afterAutospacing="1" w:line="240" w:lineRule="auto"/>
        <w:rPr>
          <w:sz w:val="24"/>
          <w:szCs w:val="24"/>
        </w:rPr>
      </w:pPr>
      <w:r w:rsidRPr="00C0282B">
        <w:rPr>
          <w:sz w:val="24"/>
          <w:szCs w:val="24"/>
        </w:rPr>
        <w:t>Specialized training for staff with elevated data handling responsibilities</w:t>
      </w:r>
    </w:p>
    <w:p w14:paraId="4A121F01" w14:textId="77777777" w:rsidR="00C0282B" w:rsidRPr="00C0282B" w:rsidRDefault="00C0282B" w:rsidP="00C0282B">
      <w:pPr>
        <w:pStyle w:val="Heading3"/>
        <w:rPr>
          <w:rFonts w:cs="Arial"/>
          <w:sz w:val="24"/>
          <w:szCs w:val="24"/>
        </w:rPr>
      </w:pPr>
      <w:r w:rsidRPr="00C0282B">
        <w:rPr>
          <w:rFonts w:cs="Arial"/>
          <w:sz w:val="24"/>
          <w:szCs w:val="24"/>
        </w:rPr>
        <w:t>10.2 Training Records</w:t>
      </w:r>
    </w:p>
    <w:p w14:paraId="343C4E71" w14:textId="5A67DC09" w:rsidR="00C0282B" w:rsidRPr="00C0282B" w:rsidRDefault="00C0282B" w:rsidP="00C0282B">
      <w:pPr>
        <w:pStyle w:val="NormalWeb"/>
        <w:rPr>
          <w:rFonts w:ascii="Arial" w:hAnsi="Arial" w:cs="Arial"/>
        </w:rPr>
      </w:pPr>
      <w:r w:rsidRPr="00C0282B">
        <w:rPr>
          <w:rFonts w:ascii="Arial" w:hAnsi="Arial" w:cs="Arial"/>
        </w:rPr>
        <w:t>The Firm sh</w:t>
      </w:r>
      <w:r w:rsidR="00486325">
        <w:rPr>
          <w:rFonts w:ascii="Arial" w:hAnsi="Arial" w:cs="Arial"/>
        </w:rPr>
        <w:t>ould</w:t>
      </w:r>
      <w:r w:rsidRPr="00C0282B">
        <w:rPr>
          <w:rFonts w:ascii="Arial" w:hAnsi="Arial" w:cs="Arial"/>
        </w:rPr>
        <w:t xml:space="preserve"> maintain records of:</w:t>
      </w:r>
    </w:p>
    <w:p w14:paraId="089A202B" w14:textId="77777777" w:rsidR="00C0282B" w:rsidRPr="00C0282B" w:rsidRDefault="00C0282B" w:rsidP="00C0282B">
      <w:pPr>
        <w:numPr>
          <w:ilvl w:val="0"/>
          <w:numId w:val="35"/>
        </w:numPr>
        <w:spacing w:before="100" w:beforeAutospacing="1" w:after="100" w:afterAutospacing="1" w:line="240" w:lineRule="auto"/>
        <w:rPr>
          <w:sz w:val="24"/>
          <w:szCs w:val="24"/>
        </w:rPr>
      </w:pPr>
      <w:r w:rsidRPr="00C0282B">
        <w:rPr>
          <w:sz w:val="24"/>
          <w:szCs w:val="24"/>
        </w:rPr>
        <w:t>Training completion by all staff members</w:t>
      </w:r>
    </w:p>
    <w:p w14:paraId="1BD0C04E" w14:textId="77777777" w:rsidR="00C0282B" w:rsidRPr="00C0282B" w:rsidRDefault="00C0282B" w:rsidP="00C0282B">
      <w:pPr>
        <w:numPr>
          <w:ilvl w:val="0"/>
          <w:numId w:val="35"/>
        </w:numPr>
        <w:spacing w:before="100" w:beforeAutospacing="1" w:after="100" w:afterAutospacing="1" w:line="240" w:lineRule="auto"/>
        <w:rPr>
          <w:sz w:val="24"/>
          <w:szCs w:val="24"/>
        </w:rPr>
      </w:pPr>
      <w:r w:rsidRPr="00C0282B">
        <w:rPr>
          <w:sz w:val="24"/>
          <w:szCs w:val="24"/>
        </w:rPr>
        <w:t>Training content and materials used</w:t>
      </w:r>
    </w:p>
    <w:p w14:paraId="326E2A08" w14:textId="77777777" w:rsidR="00C0282B" w:rsidRPr="00C0282B" w:rsidRDefault="00C0282B" w:rsidP="00C0282B">
      <w:pPr>
        <w:numPr>
          <w:ilvl w:val="0"/>
          <w:numId w:val="35"/>
        </w:numPr>
        <w:spacing w:before="100" w:beforeAutospacing="1" w:after="100" w:afterAutospacing="1" w:line="240" w:lineRule="auto"/>
        <w:rPr>
          <w:sz w:val="24"/>
          <w:szCs w:val="24"/>
        </w:rPr>
      </w:pPr>
      <w:r w:rsidRPr="00C0282B">
        <w:rPr>
          <w:sz w:val="24"/>
          <w:szCs w:val="24"/>
        </w:rPr>
        <w:t>Assessment results where applicable</w:t>
      </w:r>
    </w:p>
    <w:p w14:paraId="474F4980" w14:textId="77777777" w:rsidR="00C0282B" w:rsidRPr="00C0282B" w:rsidRDefault="00C0282B" w:rsidP="00C0282B">
      <w:pPr>
        <w:numPr>
          <w:ilvl w:val="0"/>
          <w:numId w:val="35"/>
        </w:numPr>
        <w:spacing w:before="100" w:beforeAutospacing="1" w:after="100" w:afterAutospacing="1" w:line="240" w:lineRule="auto"/>
        <w:rPr>
          <w:sz w:val="24"/>
          <w:szCs w:val="24"/>
        </w:rPr>
      </w:pPr>
      <w:r w:rsidRPr="00C0282B">
        <w:rPr>
          <w:sz w:val="24"/>
          <w:szCs w:val="24"/>
        </w:rPr>
        <w:t>Refresher training schedules and completion</w:t>
      </w:r>
    </w:p>
    <w:p w14:paraId="47C3901C" w14:textId="77777777" w:rsidR="00C0282B" w:rsidRPr="00C0282B" w:rsidRDefault="00C0282B" w:rsidP="00C0282B">
      <w:pPr>
        <w:pStyle w:val="Heading2"/>
        <w:rPr>
          <w:rFonts w:ascii="Arial" w:hAnsi="Arial" w:cs="Arial"/>
          <w:sz w:val="24"/>
          <w:szCs w:val="24"/>
        </w:rPr>
      </w:pPr>
      <w:r w:rsidRPr="00C0282B">
        <w:rPr>
          <w:rFonts w:ascii="Arial" w:hAnsi="Arial" w:cs="Arial"/>
          <w:sz w:val="24"/>
          <w:szCs w:val="24"/>
        </w:rPr>
        <w:t>11. Policy Review and Updates</w:t>
      </w:r>
    </w:p>
    <w:p w14:paraId="347C6F7E" w14:textId="77777777" w:rsidR="00C0282B" w:rsidRPr="00C0282B" w:rsidRDefault="00C0282B" w:rsidP="00C0282B">
      <w:pPr>
        <w:pStyle w:val="Heading3"/>
        <w:rPr>
          <w:rFonts w:cs="Arial"/>
          <w:sz w:val="24"/>
          <w:szCs w:val="24"/>
        </w:rPr>
      </w:pPr>
      <w:r w:rsidRPr="00C0282B">
        <w:rPr>
          <w:rFonts w:cs="Arial"/>
          <w:sz w:val="24"/>
          <w:szCs w:val="24"/>
        </w:rPr>
        <w:t>11.1 Review Schedule</w:t>
      </w:r>
    </w:p>
    <w:p w14:paraId="24CE0F24" w14:textId="0A52619A" w:rsidR="00C0282B" w:rsidRPr="00C0282B" w:rsidRDefault="00C0282B" w:rsidP="00C0282B">
      <w:pPr>
        <w:pStyle w:val="NormalWeb"/>
        <w:rPr>
          <w:rFonts w:ascii="Arial" w:hAnsi="Arial" w:cs="Arial"/>
        </w:rPr>
      </w:pPr>
      <w:r w:rsidRPr="00C0282B">
        <w:rPr>
          <w:rFonts w:ascii="Arial" w:hAnsi="Arial" w:cs="Arial"/>
        </w:rPr>
        <w:t>This policy sh</w:t>
      </w:r>
      <w:r w:rsidR="00E86B27">
        <w:rPr>
          <w:rFonts w:ascii="Arial" w:hAnsi="Arial" w:cs="Arial"/>
        </w:rPr>
        <w:t>ould</w:t>
      </w:r>
      <w:r w:rsidRPr="00C0282B">
        <w:rPr>
          <w:rFonts w:ascii="Arial" w:hAnsi="Arial" w:cs="Arial"/>
        </w:rPr>
        <w:t xml:space="preserve"> be reviewed </w:t>
      </w:r>
      <w:r w:rsidR="004D0A12">
        <w:rPr>
          <w:rFonts w:ascii="Arial" w:hAnsi="Arial" w:cs="Arial"/>
        </w:rPr>
        <w:t>bi-</w:t>
      </w:r>
      <w:r w:rsidRPr="00C0282B">
        <w:rPr>
          <w:rFonts w:ascii="Arial" w:hAnsi="Arial" w:cs="Arial"/>
        </w:rPr>
        <w:t>annually or whenever there are significant changes to:</w:t>
      </w:r>
    </w:p>
    <w:p w14:paraId="10278DCE" w14:textId="77777777" w:rsidR="00C0282B" w:rsidRPr="00C0282B" w:rsidRDefault="00C0282B" w:rsidP="00C0282B">
      <w:pPr>
        <w:numPr>
          <w:ilvl w:val="0"/>
          <w:numId w:val="36"/>
        </w:numPr>
        <w:spacing w:before="100" w:beforeAutospacing="1" w:after="100" w:afterAutospacing="1" w:line="240" w:lineRule="auto"/>
        <w:rPr>
          <w:sz w:val="24"/>
          <w:szCs w:val="24"/>
        </w:rPr>
      </w:pPr>
      <w:r w:rsidRPr="00C0282B">
        <w:rPr>
          <w:sz w:val="24"/>
          <w:szCs w:val="24"/>
        </w:rPr>
        <w:t>Applicable laws and regulations</w:t>
      </w:r>
    </w:p>
    <w:p w14:paraId="5877D460" w14:textId="77777777" w:rsidR="00C0282B" w:rsidRPr="00C0282B" w:rsidRDefault="00C0282B" w:rsidP="00C0282B">
      <w:pPr>
        <w:numPr>
          <w:ilvl w:val="0"/>
          <w:numId w:val="36"/>
        </w:numPr>
        <w:spacing w:before="100" w:beforeAutospacing="1" w:after="100" w:afterAutospacing="1" w:line="240" w:lineRule="auto"/>
        <w:rPr>
          <w:sz w:val="24"/>
          <w:szCs w:val="24"/>
        </w:rPr>
      </w:pPr>
      <w:r w:rsidRPr="00C0282B">
        <w:rPr>
          <w:sz w:val="24"/>
          <w:szCs w:val="24"/>
        </w:rPr>
        <w:t>Professional standards and industry best practices</w:t>
      </w:r>
    </w:p>
    <w:p w14:paraId="081B5E17" w14:textId="77777777" w:rsidR="00C0282B" w:rsidRPr="00C0282B" w:rsidRDefault="00C0282B" w:rsidP="00C0282B">
      <w:pPr>
        <w:numPr>
          <w:ilvl w:val="0"/>
          <w:numId w:val="36"/>
        </w:numPr>
        <w:spacing w:before="100" w:beforeAutospacing="1" w:after="100" w:afterAutospacing="1" w:line="240" w:lineRule="auto"/>
        <w:rPr>
          <w:sz w:val="24"/>
          <w:szCs w:val="24"/>
        </w:rPr>
      </w:pPr>
      <w:r w:rsidRPr="00C0282B">
        <w:rPr>
          <w:sz w:val="24"/>
          <w:szCs w:val="24"/>
        </w:rPr>
        <w:t>Business operations and data processing activities</w:t>
      </w:r>
    </w:p>
    <w:p w14:paraId="1CF54B76" w14:textId="77777777" w:rsidR="00C0282B" w:rsidRPr="00C0282B" w:rsidRDefault="00C0282B" w:rsidP="00C0282B">
      <w:pPr>
        <w:numPr>
          <w:ilvl w:val="0"/>
          <w:numId w:val="36"/>
        </w:numPr>
        <w:spacing w:before="100" w:beforeAutospacing="1" w:after="100" w:afterAutospacing="1" w:line="240" w:lineRule="auto"/>
        <w:rPr>
          <w:sz w:val="24"/>
          <w:szCs w:val="24"/>
        </w:rPr>
      </w:pPr>
      <w:r w:rsidRPr="00C0282B">
        <w:rPr>
          <w:sz w:val="24"/>
          <w:szCs w:val="24"/>
        </w:rPr>
        <w:t>Risk assessments and threat landscapes</w:t>
      </w:r>
    </w:p>
    <w:p w14:paraId="095C9CB3" w14:textId="77777777" w:rsidR="00C0282B" w:rsidRPr="00C0282B" w:rsidRDefault="00C0282B" w:rsidP="00C0282B">
      <w:pPr>
        <w:numPr>
          <w:ilvl w:val="0"/>
          <w:numId w:val="36"/>
        </w:numPr>
        <w:spacing w:before="100" w:beforeAutospacing="1" w:after="100" w:afterAutospacing="1" w:line="240" w:lineRule="auto"/>
        <w:rPr>
          <w:sz w:val="24"/>
          <w:szCs w:val="24"/>
        </w:rPr>
      </w:pPr>
      <w:r w:rsidRPr="00C0282B">
        <w:rPr>
          <w:sz w:val="24"/>
          <w:szCs w:val="24"/>
        </w:rPr>
        <w:t>Technology systems and capabilities</w:t>
      </w:r>
    </w:p>
    <w:p w14:paraId="40F446A9" w14:textId="77777777" w:rsidR="00C0282B" w:rsidRPr="00C0282B" w:rsidRDefault="00C0282B" w:rsidP="00C0282B">
      <w:pPr>
        <w:pStyle w:val="Heading3"/>
        <w:rPr>
          <w:rFonts w:cs="Arial"/>
          <w:sz w:val="24"/>
          <w:szCs w:val="24"/>
        </w:rPr>
      </w:pPr>
      <w:r w:rsidRPr="00C0282B">
        <w:rPr>
          <w:rFonts w:cs="Arial"/>
          <w:sz w:val="24"/>
          <w:szCs w:val="24"/>
        </w:rPr>
        <w:t>11.2 Update Process</w:t>
      </w:r>
    </w:p>
    <w:p w14:paraId="76478DBE" w14:textId="77777777" w:rsidR="00C0282B" w:rsidRPr="00C0282B" w:rsidRDefault="00C0282B" w:rsidP="00C0282B">
      <w:pPr>
        <w:pStyle w:val="NormalWeb"/>
        <w:rPr>
          <w:rFonts w:ascii="Arial" w:hAnsi="Arial" w:cs="Arial"/>
        </w:rPr>
      </w:pPr>
      <w:r w:rsidRPr="00C0282B">
        <w:rPr>
          <w:rFonts w:ascii="Arial" w:hAnsi="Arial" w:cs="Arial"/>
        </w:rPr>
        <w:t>Policy updates will follow these procedures:</w:t>
      </w:r>
    </w:p>
    <w:p w14:paraId="3215B5C0" w14:textId="77777777" w:rsidR="00C0282B" w:rsidRPr="00C0282B" w:rsidRDefault="00C0282B" w:rsidP="00C0282B">
      <w:pPr>
        <w:numPr>
          <w:ilvl w:val="0"/>
          <w:numId w:val="37"/>
        </w:numPr>
        <w:spacing w:before="100" w:beforeAutospacing="1" w:after="100" w:afterAutospacing="1" w:line="240" w:lineRule="auto"/>
        <w:rPr>
          <w:sz w:val="24"/>
          <w:szCs w:val="24"/>
        </w:rPr>
      </w:pPr>
      <w:r w:rsidRPr="00C0282B">
        <w:rPr>
          <w:sz w:val="24"/>
          <w:szCs w:val="24"/>
        </w:rPr>
        <w:t>Draft revisions prepared by the Data Protection Officer</w:t>
      </w:r>
    </w:p>
    <w:p w14:paraId="05EA46AB" w14:textId="77777777" w:rsidR="00C0282B" w:rsidRPr="00C0282B" w:rsidRDefault="00C0282B" w:rsidP="00C0282B">
      <w:pPr>
        <w:numPr>
          <w:ilvl w:val="0"/>
          <w:numId w:val="37"/>
        </w:numPr>
        <w:spacing w:before="100" w:beforeAutospacing="1" w:after="100" w:afterAutospacing="1" w:line="240" w:lineRule="auto"/>
        <w:rPr>
          <w:sz w:val="24"/>
          <w:szCs w:val="24"/>
        </w:rPr>
      </w:pPr>
      <w:r w:rsidRPr="00C0282B">
        <w:rPr>
          <w:sz w:val="24"/>
          <w:szCs w:val="24"/>
        </w:rPr>
        <w:t>Consultation with relevant department heads</w:t>
      </w:r>
    </w:p>
    <w:p w14:paraId="07A5BF47" w14:textId="77777777" w:rsidR="00C0282B" w:rsidRPr="00C0282B" w:rsidRDefault="00C0282B" w:rsidP="00C0282B">
      <w:pPr>
        <w:numPr>
          <w:ilvl w:val="0"/>
          <w:numId w:val="37"/>
        </w:numPr>
        <w:spacing w:before="100" w:beforeAutospacing="1" w:after="100" w:afterAutospacing="1" w:line="240" w:lineRule="auto"/>
        <w:rPr>
          <w:sz w:val="24"/>
          <w:szCs w:val="24"/>
        </w:rPr>
      </w:pPr>
      <w:r w:rsidRPr="00C0282B">
        <w:rPr>
          <w:sz w:val="24"/>
          <w:szCs w:val="24"/>
        </w:rPr>
        <w:t>Legal review where necessary</w:t>
      </w:r>
    </w:p>
    <w:p w14:paraId="7CA7C042" w14:textId="77777777" w:rsidR="00C0282B" w:rsidRPr="00C0282B" w:rsidRDefault="00C0282B" w:rsidP="00C0282B">
      <w:pPr>
        <w:numPr>
          <w:ilvl w:val="0"/>
          <w:numId w:val="37"/>
        </w:numPr>
        <w:spacing w:before="100" w:beforeAutospacing="1" w:after="100" w:afterAutospacing="1" w:line="240" w:lineRule="auto"/>
        <w:rPr>
          <w:sz w:val="24"/>
          <w:szCs w:val="24"/>
        </w:rPr>
      </w:pPr>
      <w:r w:rsidRPr="00C0282B">
        <w:rPr>
          <w:sz w:val="24"/>
          <w:szCs w:val="24"/>
        </w:rPr>
        <w:t>Approval by senior management</w:t>
      </w:r>
    </w:p>
    <w:p w14:paraId="4A87B064" w14:textId="790EE040" w:rsidR="00C0282B" w:rsidRPr="00C0282B" w:rsidRDefault="00C0282B" w:rsidP="00C0282B">
      <w:pPr>
        <w:numPr>
          <w:ilvl w:val="0"/>
          <w:numId w:val="37"/>
        </w:numPr>
        <w:spacing w:before="100" w:beforeAutospacing="1" w:after="100" w:afterAutospacing="1" w:line="240" w:lineRule="auto"/>
        <w:rPr>
          <w:sz w:val="24"/>
          <w:szCs w:val="24"/>
        </w:rPr>
      </w:pPr>
      <w:r w:rsidRPr="00C0282B">
        <w:rPr>
          <w:sz w:val="24"/>
          <w:szCs w:val="24"/>
        </w:rPr>
        <w:t>Communication to all staff</w:t>
      </w:r>
      <w:r w:rsidR="00E86B27">
        <w:rPr>
          <w:sz w:val="24"/>
          <w:szCs w:val="24"/>
        </w:rPr>
        <w:t xml:space="preserve"> as appropriate</w:t>
      </w:r>
    </w:p>
    <w:p w14:paraId="5286D54D" w14:textId="77777777" w:rsidR="00C0282B" w:rsidRPr="00C0282B" w:rsidRDefault="00C0282B" w:rsidP="00C0282B">
      <w:pPr>
        <w:numPr>
          <w:ilvl w:val="0"/>
          <w:numId w:val="37"/>
        </w:numPr>
        <w:spacing w:before="100" w:beforeAutospacing="1" w:after="100" w:afterAutospacing="1" w:line="240" w:lineRule="auto"/>
        <w:rPr>
          <w:sz w:val="24"/>
          <w:szCs w:val="24"/>
        </w:rPr>
      </w:pPr>
      <w:r w:rsidRPr="00C0282B">
        <w:rPr>
          <w:sz w:val="24"/>
          <w:szCs w:val="24"/>
        </w:rPr>
        <w:t>Implementation with appropriate training</w:t>
      </w:r>
    </w:p>
    <w:p w14:paraId="19B1D72C" w14:textId="77777777" w:rsidR="00C0282B" w:rsidRPr="00C0282B" w:rsidRDefault="00C0282B" w:rsidP="00C0282B">
      <w:pPr>
        <w:pStyle w:val="Heading2"/>
        <w:rPr>
          <w:rFonts w:ascii="Arial" w:hAnsi="Arial" w:cs="Arial"/>
          <w:sz w:val="24"/>
          <w:szCs w:val="24"/>
        </w:rPr>
      </w:pPr>
      <w:r w:rsidRPr="00C0282B">
        <w:rPr>
          <w:rFonts w:ascii="Arial" w:hAnsi="Arial" w:cs="Arial"/>
          <w:sz w:val="24"/>
          <w:szCs w:val="24"/>
        </w:rPr>
        <w:t>12. Non-Compliance</w:t>
      </w:r>
    </w:p>
    <w:p w14:paraId="5698718C" w14:textId="77777777" w:rsidR="00C0282B" w:rsidRPr="00C0282B" w:rsidRDefault="00C0282B" w:rsidP="00C0282B">
      <w:pPr>
        <w:pStyle w:val="Heading3"/>
        <w:rPr>
          <w:rFonts w:cs="Arial"/>
          <w:sz w:val="24"/>
          <w:szCs w:val="24"/>
        </w:rPr>
      </w:pPr>
      <w:r w:rsidRPr="00C0282B">
        <w:rPr>
          <w:rFonts w:cs="Arial"/>
          <w:sz w:val="24"/>
          <w:szCs w:val="24"/>
        </w:rPr>
        <w:t>12.1 Consequences</w:t>
      </w:r>
    </w:p>
    <w:p w14:paraId="3148FB66" w14:textId="77777777" w:rsidR="00C0282B" w:rsidRPr="00C0282B" w:rsidRDefault="00C0282B" w:rsidP="00C0282B">
      <w:pPr>
        <w:pStyle w:val="NormalWeb"/>
        <w:rPr>
          <w:rFonts w:ascii="Arial" w:hAnsi="Arial" w:cs="Arial"/>
        </w:rPr>
      </w:pPr>
      <w:r w:rsidRPr="00C0282B">
        <w:rPr>
          <w:rFonts w:ascii="Arial" w:hAnsi="Arial" w:cs="Arial"/>
        </w:rPr>
        <w:t>Failure to comply with this policy may result in:</w:t>
      </w:r>
    </w:p>
    <w:p w14:paraId="57E15557" w14:textId="77777777" w:rsidR="00C0282B" w:rsidRPr="00C0282B" w:rsidRDefault="00C0282B" w:rsidP="00C0282B">
      <w:pPr>
        <w:numPr>
          <w:ilvl w:val="0"/>
          <w:numId w:val="38"/>
        </w:numPr>
        <w:spacing w:before="100" w:beforeAutospacing="1" w:after="100" w:afterAutospacing="1" w:line="240" w:lineRule="auto"/>
        <w:rPr>
          <w:sz w:val="24"/>
          <w:szCs w:val="24"/>
        </w:rPr>
      </w:pPr>
      <w:r w:rsidRPr="00C0282B">
        <w:rPr>
          <w:sz w:val="24"/>
          <w:szCs w:val="24"/>
        </w:rPr>
        <w:lastRenderedPageBreak/>
        <w:t>Disciplinary action up to and including termination</w:t>
      </w:r>
    </w:p>
    <w:p w14:paraId="7A93C9E9" w14:textId="77777777" w:rsidR="00C0282B" w:rsidRPr="00C0282B" w:rsidRDefault="00C0282B" w:rsidP="00C0282B">
      <w:pPr>
        <w:numPr>
          <w:ilvl w:val="0"/>
          <w:numId w:val="38"/>
        </w:numPr>
        <w:spacing w:before="100" w:beforeAutospacing="1" w:after="100" w:afterAutospacing="1" w:line="240" w:lineRule="auto"/>
        <w:rPr>
          <w:sz w:val="24"/>
          <w:szCs w:val="24"/>
        </w:rPr>
      </w:pPr>
      <w:r w:rsidRPr="00C0282B">
        <w:rPr>
          <w:sz w:val="24"/>
          <w:szCs w:val="24"/>
        </w:rPr>
        <w:t>Regulatory penalties and fines</w:t>
      </w:r>
    </w:p>
    <w:p w14:paraId="12B5F1A6" w14:textId="77777777" w:rsidR="00C0282B" w:rsidRPr="00C0282B" w:rsidRDefault="00C0282B" w:rsidP="00C0282B">
      <w:pPr>
        <w:numPr>
          <w:ilvl w:val="0"/>
          <w:numId w:val="38"/>
        </w:numPr>
        <w:spacing w:before="100" w:beforeAutospacing="1" w:after="100" w:afterAutospacing="1" w:line="240" w:lineRule="auto"/>
        <w:rPr>
          <w:sz w:val="24"/>
          <w:szCs w:val="24"/>
        </w:rPr>
      </w:pPr>
      <w:r w:rsidRPr="00C0282B">
        <w:rPr>
          <w:sz w:val="24"/>
          <w:szCs w:val="24"/>
        </w:rPr>
        <w:t>Reputational damage to the Firm</w:t>
      </w:r>
    </w:p>
    <w:p w14:paraId="69042679" w14:textId="77777777" w:rsidR="00C0282B" w:rsidRPr="00C0282B" w:rsidRDefault="00C0282B" w:rsidP="00C0282B">
      <w:pPr>
        <w:numPr>
          <w:ilvl w:val="0"/>
          <w:numId w:val="38"/>
        </w:numPr>
        <w:spacing w:before="100" w:beforeAutospacing="1" w:after="100" w:afterAutospacing="1" w:line="240" w:lineRule="auto"/>
        <w:rPr>
          <w:sz w:val="24"/>
          <w:szCs w:val="24"/>
        </w:rPr>
      </w:pPr>
      <w:r w:rsidRPr="00C0282B">
        <w:rPr>
          <w:sz w:val="24"/>
          <w:szCs w:val="24"/>
        </w:rPr>
        <w:t>Legal liability and potential litigation</w:t>
      </w:r>
    </w:p>
    <w:p w14:paraId="5F44E07F" w14:textId="77777777" w:rsidR="00C0282B" w:rsidRPr="00C0282B" w:rsidRDefault="00C0282B" w:rsidP="00C0282B">
      <w:pPr>
        <w:numPr>
          <w:ilvl w:val="0"/>
          <w:numId w:val="38"/>
        </w:numPr>
        <w:spacing w:before="100" w:beforeAutospacing="1" w:after="100" w:afterAutospacing="1" w:line="240" w:lineRule="auto"/>
        <w:rPr>
          <w:sz w:val="24"/>
          <w:szCs w:val="24"/>
        </w:rPr>
      </w:pPr>
      <w:r w:rsidRPr="00C0282B">
        <w:rPr>
          <w:sz w:val="24"/>
          <w:szCs w:val="24"/>
        </w:rPr>
        <w:t>Loss of professional certifications or licenses</w:t>
      </w:r>
    </w:p>
    <w:p w14:paraId="70656198" w14:textId="77777777" w:rsidR="00C0282B" w:rsidRPr="00C0282B" w:rsidRDefault="00C0282B" w:rsidP="00C0282B">
      <w:pPr>
        <w:pStyle w:val="Heading3"/>
        <w:rPr>
          <w:rFonts w:cs="Arial"/>
          <w:sz w:val="24"/>
          <w:szCs w:val="24"/>
        </w:rPr>
      </w:pPr>
      <w:r w:rsidRPr="00C0282B">
        <w:rPr>
          <w:rFonts w:cs="Arial"/>
          <w:sz w:val="24"/>
          <w:szCs w:val="24"/>
        </w:rPr>
        <w:t>12.2 Reporting</w:t>
      </w:r>
    </w:p>
    <w:p w14:paraId="7C5DEEEA" w14:textId="77777777" w:rsidR="00C0282B" w:rsidRPr="00C0282B" w:rsidRDefault="00C0282B" w:rsidP="00C0282B">
      <w:pPr>
        <w:pStyle w:val="NormalWeb"/>
        <w:rPr>
          <w:rFonts w:ascii="Arial" w:hAnsi="Arial" w:cs="Arial"/>
        </w:rPr>
      </w:pPr>
      <w:r w:rsidRPr="00C0282B">
        <w:rPr>
          <w:rFonts w:ascii="Arial" w:hAnsi="Arial" w:cs="Arial"/>
        </w:rPr>
        <w:t>All instances of non-compliance must be reported to the Data Protection Officer immediately for investigation and remediation.</w:t>
      </w:r>
    </w:p>
    <w:p w14:paraId="3AA37A06" w14:textId="77777777" w:rsidR="00C0282B" w:rsidRPr="00C0282B" w:rsidRDefault="00C0282B" w:rsidP="00C0282B">
      <w:pPr>
        <w:pStyle w:val="Heading2"/>
        <w:rPr>
          <w:rFonts w:ascii="Arial" w:hAnsi="Arial" w:cs="Arial"/>
          <w:sz w:val="24"/>
          <w:szCs w:val="24"/>
        </w:rPr>
      </w:pPr>
      <w:r w:rsidRPr="00C0282B">
        <w:rPr>
          <w:rFonts w:ascii="Arial" w:hAnsi="Arial" w:cs="Arial"/>
          <w:sz w:val="24"/>
          <w:szCs w:val="24"/>
        </w:rPr>
        <w:t>13. Related Policies and Procedures</w:t>
      </w:r>
    </w:p>
    <w:p w14:paraId="2C8D0B20" w14:textId="77777777" w:rsidR="00C0282B" w:rsidRPr="00C0282B" w:rsidRDefault="00C0282B" w:rsidP="00C0282B">
      <w:pPr>
        <w:pStyle w:val="NormalWeb"/>
        <w:rPr>
          <w:rFonts w:ascii="Arial" w:hAnsi="Arial" w:cs="Arial"/>
        </w:rPr>
      </w:pPr>
      <w:r w:rsidRPr="00C0282B">
        <w:rPr>
          <w:rFonts w:ascii="Arial" w:hAnsi="Arial" w:cs="Arial"/>
        </w:rPr>
        <w:t>This policy should be read in conjunction with:</w:t>
      </w:r>
    </w:p>
    <w:p w14:paraId="39F0A763" w14:textId="77777777" w:rsidR="00C0282B" w:rsidRPr="00C0282B" w:rsidRDefault="00C0282B" w:rsidP="00C0282B">
      <w:pPr>
        <w:numPr>
          <w:ilvl w:val="0"/>
          <w:numId w:val="39"/>
        </w:numPr>
        <w:spacing w:before="100" w:beforeAutospacing="1" w:after="100" w:afterAutospacing="1" w:line="240" w:lineRule="auto"/>
        <w:rPr>
          <w:sz w:val="24"/>
          <w:szCs w:val="24"/>
        </w:rPr>
      </w:pPr>
      <w:r w:rsidRPr="00C0282B">
        <w:rPr>
          <w:sz w:val="24"/>
          <w:szCs w:val="24"/>
        </w:rPr>
        <w:t>Data Protection Policy</w:t>
      </w:r>
    </w:p>
    <w:p w14:paraId="605255DB" w14:textId="3C4DF6F7" w:rsidR="00C0282B" w:rsidRPr="00C0282B" w:rsidRDefault="00521D1E" w:rsidP="00C0282B">
      <w:pPr>
        <w:numPr>
          <w:ilvl w:val="0"/>
          <w:numId w:val="39"/>
        </w:numPr>
        <w:spacing w:before="100" w:beforeAutospacing="1" w:after="100" w:afterAutospacing="1" w:line="240" w:lineRule="auto"/>
        <w:rPr>
          <w:sz w:val="24"/>
          <w:szCs w:val="24"/>
        </w:rPr>
      </w:pPr>
      <w:r>
        <w:rPr>
          <w:sz w:val="24"/>
          <w:szCs w:val="24"/>
        </w:rPr>
        <w:t>Data</w:t>
      </w:r>
      <w:r w:rsidR="00C0282B" w:rsidRPr="00C0282B">
        <w:rPr>
          <w:sz w:val="24"/>
          <w:szCs w:val="24"/>
        </w:rPr>
        <w:t xml:space="preserve"> Security Policy</w:t>
      </w:r>
    </w:p>
    <w:p w14:paraId="4161CC86" w14:textId="2063C8BD" w:rsidR="00C0282B" w:rsidRPr="00C0282B" w:rsidRDefault="00DB5B22" w:rsidP="00C0282B">
      <w:pPr>
        <w:numPr>
          <w:ilvl w:val="0"/>
          <w:numId w:val="39"/>
        </w:numPr>
        <w:spacing w:before="100" w:beforeAutospacing="1" w:after="100" w:afterAutospacing="1" w:line="240" w:lineRule="auto"/>
        <w:rPr>
          <w:sz w:val="24"/>
          <w:szCs w:val="24"/>
        </w:rPr>
      </w:pPr>
      <w:r>
        <w:rPr>
          <w:sz w:val="24"/>
          <w:szCs w:val="24"/>
        </w:rPr>
        <w:t>Employee</w:t>
      </w:r>
      <w:r w:rsidR="007F60C9">
        <w:rPr>
          <w:sz w:val="24"/>
          <w:szCs w:val="24"/>
        </w:rPr>
        <w:t xml:space="preserve"> </w:t>
      </w:r>
      <w:r w:rsidR="00F57BAC">
        <w:rPr>
          <w:sz w:val="24"/>
          <w:szCs w:val="24"/>
        </w:rPr>
        <w:t>Privacy &amp; Data Protection Policy</w:t>
      </w:r>
      <w:r>
        <w:rPr>
          <w:sz w:val="24"/>
          <w:szCs w:val="24"/>
        </w:rPr>
        <w:t xml:space="preserve"> </w:t>
      </w:r>
    </w:p>
    <w:p w14:paraId="5FF00DE4" w14:textId="10E4345B" w:rsidR="00C0282B" w:rsidRDefault="00C0282B" w:rsidP="00C0282B">
      <w:pPr>
        <w:numPr>
          <w:ilvl w:val="0"/>
          <w:numId w:val="39"/>
        </w:numPr>
        <w:spacing w:before="100" w:beforeAutospacing="1" w:after="100" w:afterAutospacing="1" w:line="240" w:lineRule="auto"/>
        <w:rPr>
          <w:sz w:val="24"/>
          <w:szCs w:val="24"/>
        </w:rPr>
      </w:pPr>
      <w:r w:rsidRPr="00C0282B">
        <w:rPr>
          <w:sz w:val="24"/>
          <w:szCs w:val="24"/>
        </w:rPr>
        <w:t>Third-Party Data Processing Agreement</w:t>
      </w:r>
      <w:r w:rsidR="00F57BAC">
        <w:rPr>
          <w:sz w:val="24"/>
          <w:szCs w:val="24"/>
        </w:rPr>
        <w:t>s</w:t>
      </w:r>
      <w:r w:rsidRPr="00C0282B">
        <w:rPr>
          <w:sz w:val="24"/>
          <w:szCs w:val="24"/>
        </w:rPr>
        <w:t xml:space="preserve"> </w:t>
      </w:r>
      <w:r w:rsidR="00F57BAC">
        <w:rPr>
          <w:sz w:val="24"/>
          <w:szCs w:val="24"/>
        </w:rPr>
        <w:t>(as applicable)</w:t>
      </w:r>
    </w:p>
    <w:p w14:paraId="696004E6" w14:textId="110F231F" w:rsidR="00F57BAC" w:rsidRDefault="00F57BAC" w:rsidP="00C0282B">
      <w:pPr>
        <w:numPr>
          <w:ilvl w:val="0"/>
          <w:numId w:val="39"/>
        </w:numPr>
        <w:spacing w:before="100" w:beforeAutospacing="1" w:after="100" w:afterAutospacing="1" w:line="240" w:lineRule="auto"/>
        <w:rPr>
          <w:sz w:val="24"/>
          <w:szCs w:val="24"/>
        </w:rPr>
      </w:pPr>
      <w:r>
        <w:rPr>
          <w:sz w:val="24"/>
          <w:szCs w:val="24"/>
        </w:rPr>
        <w:t>DPIAs (as applicable)</w:t>
      </w:r>
    </w:p>
    <w:p w14:paraId="316AE0E7" w14:textId="341FDFAA" w:rsidR="00F57BAC" w:rsidRPr="00C0282B" w:rsidRDefault="00F57BAC" w:rsidP="00C0282B">
      <w:pPr>
        <w:numPr>
          <w:ilvl w:val="0"/>
          <w:numId w:val="39"/>
        </w:numPr>
        <w:spacing w:before="100" w:beforeAutospacing="1" w:after="100" w:afterAutospacing="1" w:line="240" w:lineRule="auto"/>
        <w:rPr>
          <w:sz w:val="24"/>
          <w:szCs w:val="24"/>
        </w:rPr>
      </w:pPr>
      <w:r>
        <w:rPr>
          <w:sz w:val="24"/>
          <w:szCs w:val="24"/>
        </w:rPr>
        <w:t>ROPAs (as applicable)</w:t>
      </w:r>
    </w:p>
    <w:p w14:paraId="1751BC2C" w14:textId="77777777" w:rsidR="00C0282B" w:rsidRPr="00C0282B" w:rsidRDefault="00C0282B" w:rsidP="00C0282B">
      <w:pPr>
        <w:pStyle w:val="Heading2"/>
        <w:rPr>
          <w:rFonts w:ascii="Arial" w:hAnsi="Arial" w:cs="Arial"/>
          <w:sz w:val="24"/>
          <w:szCs w:val="24"/>
        </w:rPr>
      </w:pPr>
      <w:r w:rsidRPr="00C0282B">
        <w:rPr>
          <w:rFonts w:ascii="Arial" w:hAnsi="Arial" w:cs="Arial"/>
          <w:sz w:val="24"/>
          <w:szCs w:val="24"/>
        </w:rPr>
        <w:t>14. Contact Information</w:t>
      </w:r>
    </w:p>
    <w:p w14:paraId="35AC9D61" w14:textId="77777777" w:rsidR="00C0282B" w:rsidRPr="00C0282B" w:rsidRDefault="00C0282B" w:rsidP="00C0282B">
      <w:pPr>
        <w:pStyle w:val="NormalWeb"/>
        <w:rPr>
          <w:rFonts w:ascii="Arial" w:hAnsi="Arial" w:cs="Arial"/>
        </w:rPr>
      </w:pPr>
      <w:r w:rsidRPr="00C0282B">
        <w:rPr>
          <w:rFonts w:ascii="Arial" w:hAnsi="Arial" w:cs="Arial"/>
        </w:rPr>
        <w:t>For questions or concerns regarding this policy, contact:</w:t>
      </w:r>
    </w:p>
    <w:p w14:paraId="3A1E7153" w14:textId="5D5388DC" w:rsidR="00C0282B" w:rsidRPr="00C0282B" w:rsidRDefault="00C0282B" w:rsidP="00C0282B">
      <w:pPr>
        <w:pStyle w:val="NormalWeb"/>
        <w:rPr>
          <w:rFonts w:ascii="Arial" w:hAnsi="Arial" w:cs="Arial"/>
        </w:rPr>
      </w:pPr>
      <w:r w:rsidRPr="00C0282B">
        <w:rPr>
          <w:rStyle w:val="Strong"/>
          <w:rFonts w:ascii="Arial" w:eastAsiaTheme="majorEastAsia" w:hAnsi="Arial" w:cs="Arial"/>
        </w:rPr>
        <w:t>Data Protection Officer</w:t>
      </w:r>
      <w:r w:rsidR="007F60C9">
        <w:rPr>
          <w:rStyle w:val="Strong"/>
          <w:rFonts w:ascii="Arial" w:eastAsiaTheme="majorEastAsia" w:hAnsi="Arial" w:cs="Arial"/>
        </w:rPr>
        <w:t xml:space="preserve"> </w:t>
      </w:r>
      <w:r w:rsidR="007F60C9" w:rsidRPr="00F7326B">
        <w:rPr>
          <w:rStyle w:val="Strong"/>
          <w:rFonts w:ascii="Arial" w:eastAsiaTheme="majorEastAsia" w:hAnsi="Arial" w:cs="Arial"/>
          <w:b w:val="0"/>
          <w:bCs w:val="0"/>
        </w:rPr>
        <w:t>– Tania Bennett</w:t>
      </w:r>
      <w:r w:rsidRPr="00C0282B">
        <w:rPr>
          <w:rFonts w:ascii="Arial" w:hAnsi="Arial" w:cs="Arial"/>
        </w:rPr>
        <w:br/>
        <w:t xml:space="preserve">Email: </w:t>
      </w:r>
      <w:r w:rsidR="00BF63C7">
        <w:rPr>
          <w:rFonts w:ascii="Arial" w:hAnsi="Arial" w:cs="Arial"/>
        </w:rPr>
        <w:t>tania.bennett@shawgibbs</w:t>
      </w:r>
      <w:r w:rsidR="00A26FF8">
        <w:rPr>
          <w:rFonts w:ascii="Arial" w:hAnsi="Arial" w:cs="Arial"/>
        </w:rPr>
        <w:t>.com</w:t>
      </w:r>
      <w:r w:rsidRPr="00C0282B">
        <w:rPr>
          <w:rFonts w:ascii="Arial" w:hAnsi="Arial" w:cs="Arial"/>
        </w:rPr>
        <w:br/>
        <w:t xml:space="preserve">Phone: </w:t>
      </w:r>
      <w:r w:rsidR="00A26FF8">
        <w:rPr>
          <w:rFonts w:ascii="Arial" w:hAnsi="Arial" w:cs="Arial"/>
        </w:rPr>
        <w:t>+44 (0)1865 262200</w:t>
      </w:r>
    </w:p>
    <w:p w14:paraId="3CEE43E3" w14:textId="0E730D85" w:rsidR="00C0282B" w:rsidRPr="00C0282B" w:rsidRDefault="00C0282B" w:rsidP="00C0282B">
      <w:pPr>
        <w:pStyle w:val="NormalWeb"/>
        <w:rPr>
          <w:rFonts w:ascii="Arial" w:hAnsi="Arial" w:cs="Arial"/>
        </w:rPr>
      </w:pPr>
      <w:r w:rsidRPr="00C0282B">
        <w:rPr>
          <w:rStyle w:val="Strong"/>
          <w:rFonts w:ascii="Arial" w:eastAsiaTheme="majorEastAsia" w:hAnsi="Arial" w:cs="Arial"/>
        </w:rPr>
        <w:t>Policy Owner</w:t>
      </w:r>
      <w:r w:rsidR="00F7326B">
        <w:rPr>
          <w:rFonts w:ascii="Arial" w:hAnsi="Arial" w:cs="Arial"/>
        </w:rPr>
        <w:t xml:space="preserve"> </w:t>
      </w:r>
      <w:r w:rsidR="00F7326B" w:rsidRPr="00F7326B">
        <w:rPr>
          <w:rFonts w:ascii="Arial" w:hAnsi="Arial" w:cs="Arial"/>
        </w:rPr>
        <w:t xml:space="preserve">- </w:t>
      </w:r>
      <w:r w:rsidRPr="00F7326B">
        <w:rPr>
          <w:rFonts w:ascii="Arial" w:hAnsi="Arial" w:cs="Arial"/>
        </w:rPr>
        <w:t>Mark Ferguson</w:t>
      </w:r>
      <w:r w:rsidRPr="00C0282B">
        <w:rPr>
          <w:rFonts w:ascii="Arial" w:hAnsi="Arial" w:cs="Arial"/>
        </w:rPr>
        <w:br/>
        <w:t xml:space="preserve">Email: </w:t>
      </w:r>
      <w:r w:rsidR="00A26FF8">
        <w:rPr>
          <w:rFonts w:ascii="Arial" w:hAnsi="Arial" w:cs="Arial"/>
        </w:rPr>
        <w:t>mark.ferguson@shawgibbs.com</w:t>
      </w:r>
      <w:r w:rsidRPr="00C0282B">
        <w:rPr>
          <w:rFonts w:ascii="Arial" w:hAnsi="Arial" w:cs="Arial"/>
        </w:rPr>
        <w:br/>
        <w:t xml:space="preserve">Phone: </w:t>
      </w:r>
      <w:r w:rsidR="00A26FF8">
        <w:rPr>
          <w:rFonts w:ascii="Arial" w:hAnsi="Arial" w:cs="Arial"/>
        </w:rPr>
        <w:t>+44 (0)1865 262200</w:t>
      </w:r>
    </w:p>
    <w:sectPr w:rsidR="00C0282B" w:rsidRPr="00C0282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A70E7" w14:textId="77777777" w:rsidR="000E2957" w:rsidRDefault="000E2957" w:rsidP="00541879">
      <w:pPr>
        <w:spacing w:after="0" w:line="240" w:lineRule="auto"/>
      </w:pPr>
      <w:r>
        <w:separator/>
      </w:r>
    </w:p>
  </w:endnote>
  <w:endnote w:type="continuationSeparator" w:id="0">
    <w:p w14:paraId="116CC9B8" w14:textId="77777777" w:rsidR="000E2957" w:rsidRDefault="000E2957" w:rsidP="0054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372E" w14:textId="1D727232" w:rsidR="00541879" w:rsidRDefault="00541879" w:rsidP="00541879">
    <w:pPr>
      <w:pStyle w:val="Footer"/>
      <w:jc w:val="center"/>
    </w:pPr>
    <w:r>
      <w:rPr>
        <w:noProof/>
      </w:rPr>
      <w:drawing>
        <wp:inline distT="0" distB="0" distL="0" distR="0" wp14:anchorId="4A93A78E" wp14:editId="1D8FBFB1">
          <wp:extent cx="1803384" cy="590806"/>
          <wp:effectExtent l="0" t="0" r="6985" b="0"/>
          <wp:docPr id="390608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328" cy="59602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F55E9" w14:textId="77777777" w:rsidR="000E2957" w:rsidRDefault="000E2957" w:rsidP="00541879">
      <w:pPr>
        <w:spacing w:after="0" w:line="240" w:lineRule="auto"/>
      </w:pPr>
      <w:r>
        <w:separator/>
      </w:r>
    </w:p>
  </w:footnote>
  <w:footnote w:type="continuationSeparator" w:id="0">
    <w:p w14:paraId="717398E5" w14:textId="77777777" w:rsidR="000E2957" w:rsidRDefault="000E2957" w:rsidP="00541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43D5"/>
    <w:multiLevelType w:val="multilevel"/>
    <w:tmpl w:val="FF4E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F232A"/>
    <w:multiLevelType w:val="multilevel"/>
    <w:tmpl w:val="7084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F0428"/>
    <w:multiLevelType w:val="multilevel"/>
    <w:tmpl w:val="3FFE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E52DC"/>
    <w:multiLevelType w:val="multilevel"/>
    <w:tmpl w:val="2EE0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95C92"/>
    <w:multiLevelType w:val="multilevel"/>
    <w:tmpl w:val="3012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77665A"/>
    <w:multiLevelType w:val="multilevel"/>
    <w:tmpl w:val="D39A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56896"/>
    <w:multiLevelType w:val="multilevel"/>
    <w:tmpl w:val="2256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051BD"/>
    <w:multiLevelType w:val="multilevel"/>
    <w:tmpl w:val="EDC0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1445B"/>
    <w:multiLevelType w:val="multilevel"/>
    <w:tmpl w:val="2D22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6E2CC9"/>
    <w:multiLevelType w:val="multilevel"/>
    <w:tmpl w:val="CE6A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10857"/>
    <w:multiLevelType w:val="multilevel"/>
    <w:tmpl w:val="4FD0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057EA"/>
    <w:multiLevelType w:val="multilevel"/>
    <w:tmpl w:val="F304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872EF"/>
    <w:multiLevelType w:val="multilevel"/>
    <w:tmpl w:val="0814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10979"/>
    <w:multiLevelType w:val="multilevel"/>
    <w:tmpl w:val="51E6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13167"/>
    <w:multiLevelType w:val="multilevel"/>
    <w:tmpl w:val="E36E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76F36"/>
    <w:multiLevelType w:val="multilevel"/>
    <w:tmpl w:val="91EA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70AC8"/>
    <w:multiLevelType w:val="multilevel"/>
    <w:tmpl w:val="B7F8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61697"/>
    <w:multiLevelType w:val="multilevel"/>
    <w:tmpl w:val="A2B0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7D36E4"/>
    <w:multiLevelType w:val="multilevel"/>
    <w:tmpl w:val="F0C6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33E64"/>
    <w:multiLevelType w:val="multilevel"/>
    <w:tmpl w:val="9C7E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B7059F"/>
    <w:multiLevelType w:val="multilevel"/>
    <w:tmpl w:val="A1E4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C10A6"/>
    <w:multiLevelType w:val="multilevel"/>
    <w:tmpl w:val="DDE2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C546A"/>
    <w:multiLevelType w:val="multilevel"/>
    <w:tmpl w:val="6912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367132"/>
    <w:multiLevelType w:val="multilevel"/>
    <w:tmpl w:val="C01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9A015D"/>
    <w:multiLevelType w:val="multilevel"/>
    <w:tmpl w:val="0508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5D7036"/>
    <w:multiLevelType w:val="multilevel"/>
    <w:tmpl w:val="178A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FA4197"/>
    <w:multiLevelType w:val="multilevel"/>
    <w:tmpl w:val="2542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D92484"/>
    <w:multiLevelType w:val="multilevel"/>
    <w:tmpl w:val="35C4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4664FD"/>
    <w:multiLevelType w:val="multilevel"/>
    <w:tmpl w:val="250C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B5F52"/>
    <w:multiLevelType w:val="multilevel"/>
    <w:tmpl w:val="519A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5C5289"/>
    <w:multiLevelType w:val="multilevel"/>
    <w:tmpl w:val="3F4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DB32C2"/>
    <w:multiLevelType w:val="multilevel"/>
    <w:tmpl w:val="0272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6D5168"/>
    <w:multiLevelType w:val="multilevel"/>
    <w:tmpl w:val="7B90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2A2256"/>
    <w:multiLevelType w:val="multilevel"/>
    <w:tmpl w:val="CF16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1549A4"/>
    <w:multiLevelType w:val="multilevel"/>
    <w:tmpl w:val="9506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4F604B"/>
    <w:multiLevelType w:val="multilevel"/>
    <w:tmpl w:val="B318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386C81"/>
    <w:multiLevelType w:val="multilevel"/>
    <w:tmpl w:val="DD00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E979CA"/>
    <w:multiLevelType w:val="multilevel"/>
    <w:tmpl w:val="1FFC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3A5A1A"/>
    <w:multiLevelType w:val="multilevel"/>
    <w:tmpl w:val="B470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794951">
    <w:abstractNumId w:val="4"/>
  </w:num>
  <w:num w:numId="2" w16cid:durableId="526599816">
    <w:abstractNumId w:val="14"/>
  </w:num>
  <w:num w:numId="3" w16cid:durableId="1563826078">
    <w:abstractNumId w:val="7"/>
  </w:num>
  <w:num w:numId="4" w16cid:durableId="665091446">
    <w:abstractNumId w:val="23"/>
  </w:num>
  <w:num w:numId="5" w16cid:durableId="1941795293">
    <w:abstractNumId w:val="31"/>
  </w:num>
  <w:num w:numId="6" w16cid:durableId="1385982719">
    <w:abstractNumId w:val="10"/>
  </w:num>
  <w:num w:numId="7" w16cid:durableId="1996450015">
    <w:abstractNumId w:val="38"/>
  </w:num>
  <w:num w:numId="8" w16cid:durableId="1035231256">
    <w:abstractNumId w:val="34"/>
  </w:num>
  <w:num w:numId="9" w16cid:durableId="2125884828">
    <w:abstractNumId w:val="20"/>
  </w:num>
  <w:num w:numId="10" w16cid:durableId="1631277046">
    <w:abstractNumId w:val="19"/>
  </w:num>
  <w:num w:numId="11" w16cid:durableId="673536448">
    <w:abstractNumId w:val="25"/>
  </w:num>
  <w:num w:numId="12" w16cid:durableId="497043262">
    <w:abstractNumId w:val="29"/>
  </w:num>
  <w:num w:numId="13" w16cid:durableId="701052064">
    <w:abstractNumId w:val="30"/>
  </w:num>
  <w:num w:numId="14" w16cid:durableId="1200701422">
    <w:abstractNumId w:val="12"/>
  </w:num>
  <w:num w:numId="15" w16cid:durableId="293752416">
    <w:abstractNumId w:val="26"/>
  </w:num>
  <w:num w:numId="16" w16cid:durableId="1554729334">
    <w:abstractNumId w:val="2"/>
  </w:num>
  <w:num w:numId="17" w16cid:durableId="1281570834">
    <w:abstractNumId w:val="0"/>
  </w:num>
  <w:num w:numId="18" w16cid:durableId="1649898396">
    <w:abstractNumId w:val="17"/>
  </w:num>
  <w:num w:numId="19" w16cid:durableId="2047172290">
    <w:abstractNumId w:val="27"/>
  </w:num>
  <w:num w:numId="20" w16cid:durableId="1392996983">
    <w:abstractNumId w:val="1"/>
  </w:num>
  <w:num w:numId="21" w16cid:durableId="1504126718">
    <w:abstractNumId w:val="9"/>
  </w:num>
  <w:num w:numId="22" w16cid:durableId="1654677476">
    <w:abstractNumId w:val="13"/>
  </w:num>
  <w:num w:numId="23" w16cid:durableId="911234446">
    <w:abstractNumId w:val="3"/>
  </w:num>
  <w:num w:numId="24" w16cid:durableId="1236548741">
    <w:abstractNumId w:val="16"/>
  </w:num>
  <w:num w:numId="25" w16cid:durableId="1746145679">
    <w:abstractNumId w:val="37"/>
  </w:num>
  <w:num w:numId="26" w16cid:durableId="1005404462">
    <w:abstractNumId w:val="22"/>
  </w:num>
  <w:num w:numId="27" w16cid:durableId="1526291844">
    <w:abstractNumId w:val="18"/>
  </w:num>
  <w:num w:numId="28" w16cid:durableId="350763291">
    <w:abstractNumId w:val="32"/>
  </w:num>
  <w:num w:numId="29" w16cid:durableId="1647467827">
    <w:abstractNumId w:val="6"/>
  </w:num>
  <w:num w:numId="30" w16cid:durableId="1261640613">
    <w:abstractNumId w:val="15"/>
  </w:num>
  <w:num w:numId="31" w16cid:durableId="534271470">
    <w:abstractNumId w:val="21"/>
  </w:num>
  <w:num w:numId="32" w16cid:durableId="19086396">
    <w:abstractNumId w:val="24"/>
  </w:num>
  <w:num w:numId="33" w16cid:durableId="1151678596">
    <w:abstractNumId w:val="5"/>
  </w:num>
  <w:num w:numId="34" w16cid:durableId="1066299829">
    <w:abstractNumId w:val="35"/>
  </w:num>
  <w:num w:numId="35" w16cid:durableId="1467502372">
    <w:abstractNumId w:val="33"/>
  </w:num>
  <w:num w:numId="36" w16cid:durableId="957638229">
    <w:abstractNumId w:val="28"/>
  </w:num>
  <w:num w:numId="37" w16cid:durableId="453404514">
    <w:abstractNumId w:val="11"/>
  </w:num>
  <w:num w:numId="38" w16cid:durableId="1772314847">
    <w:abstractNumId w:val="36"/>
  </w:num>
  <w:num w:numId="39" w16cid:durableId="15579324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8F"/>
    <w:rsid w:val="00074BAD"/>
    <w:rsid w:val="000D5373"/>
    <w:rsid w:val="000E2957"/>
    <w:rsid w:val="001320EB"/>
    <w:rsid w:val="0014528B"/>
    <w:rsid w:val="0015573D"/>
    <w:rsid w:val="001854E3"/>
    <w:rsid w:val="002567BC"/>
    <w:rsid w:val="00284D43"/>
    <w:rsid w:val="002B5F3D"/>
    <w:rsid w:val="002E019B"/>
    <w:rsid w:val="002F117B"/>
    <w:rsid w:val="003D6704"/>
    <w:rsid w:val="00486325"/>
    <w:rsid w:val="004D0A12"/>
    <w:rsid w:val="004F102E"/>
    <w:rsid w:val="00521D1E"/>
    <w:rsid w:val="00535712"/>
    <w:rsid w:val="00541879"/>
    <w:rsid w:val="005A5D5C"/>
    <w:rsid w:val="005C73C0"/>
    <w:rsid w:val="007F60C9"/>
    <w:rsid w:val="00824490"/>
    <w:rsid w:val="008A0C01"/>
    <w:rsid w:val="008E36D5"/>
    <w:rsid w:val="008E644F"/>
    <w:rsid w:val="00976691"/>
    <w:rsid w:val="009D178B"/>
    <w:rsid w:val="009F5ED9"/>
    <w:rsid w:val="00A26FF8"/>
    <w:rsid w:val="00A63079"/>
    <w:rsid w:val="00B47F30"/>
    <w:rsid w:val="00BF63C7"/>
    <w:rsid w:val="00C0282B"/>
    <w:rsid w:val="00C83FA0"/>
    <w:rsid w:val="00D14E64"/>
    <w:rsid w:val="00DB5B22"/>
    <w:rsid w:val="00DC5295"/>
    <w:rsid w:val="00E86B27"/>
    <w:rsid w:val="00EA508F"/>
    <w:rsid w:val="00F57BAC"/>
    <w:rsid w:val="00F7326B"/>
    <w:rsid w:val="00F751A3"/>
    <w:rsid w:val="00FB1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2AD74B1"/>
  <w15:chartTrackingRefBased/>
  <w15:docId w15:val="{1083922C-5F68-CA4B-9A14-DEB535F8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08F"/>
    <w:pPr>
      <w:spacing w:after="200" w:line="240" w:lineRule="atLeast"/>
    </w:pPr>
    <w:rPr>
      <w:rFonts w:ascii="Arial" w:eastAsia="Arial" w:hAnsi="Arial" w:cs="Arial"/>
      <w:color w:val="000000"/>
      <w:kern w:val="0"/>
      <w:sz w:val="22"/>
      <w:szCs w:val="22"/>
      <w:lang w:eastAsia="en-GB"/>
      <w14:ligatures w14:val="none"/>
    </w:rPr>
  </w:style>
  <w:style w:type="paragraph" w:styleId="Heading1">
    <w:name w:val="heading 1"/>
    <w:basedOn w:val="Normal"/>
    <w:next w:val="Normal"/>
    <w:link w:val="Heading1Char"/>
    <w:uiPriority w:val="9"/>
    <w:qFormat/>
    <w:rsid w:val="00EA50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A50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50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0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0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0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0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0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0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0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A50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0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0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0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0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0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0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08F"/>
    <w:rPr>
      <w:rFonts w:eastAsiaTheme="majorEastAsia" w:cstheme="majorBidi"/>
      <w:color w:val="272727" w:themeColor="text1" w:themeTint="D8"/>
    </w:rPr>
  </w:style>
  <w:style w:type="paragraph" w:styleId="Title">
    <w:name w:val="Title"/>
    <w:basedOn w:val="Normal"/>
    <w:next w:val="Normal"/>
    <w:link w:val="TitleChar"/>
    <w:uiPriority w:val="10"/>
    <w:qFormat/>
    <w:rsid w:val="00EA50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0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0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0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0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508F"/>
    <w:rPr>
      <w:i/>
      <w:iCs/>
      <w:color w:val="404040" w:themeColor="text1" w:themeTint="BF"/>
    </w:rPr>
  </w:style>
  <w:style w:type="paragraph" w:styleId="ListParagraph">
    <w:name w:val="List Paragraph"/>
    <w:basedOn w:val="Normal"/>
    <w:uiPriority w:val="34"/>
    <w:qFormat/>
    <w:rsid w:val="00EA508F"/>
    <w:pPr>
      <w:ind w:left="720"/>
      <w:contextualSpacing/>
    </w:pPr>
  </w:style>
  <w:style w:type="character" w:styleId="IntenseEmphasis">
    <w:name w:val="Intense Emphasis"/>
    <w:basedOn w:val="DefaultParagraphFont"/>
    <w:uiPriority w:val="21"/>
    <w:qFormat/>
    <w:rsid w:val="00EA508F"/>
    <w:rPr>
      <w:i/>
      <w:iCs/>
      <w:color w:val="0F4761" w:themeColor="accent1" w:themeShade="BF"/>
    </w:rPr>
  </w:style>
  <w:style w:type="paragraph" w:styleId="IntenseQuote">
    <w:name w:val="Intense Quote"/>
    <w:basedOn w:val="Normal"/>
    <w:next w:val="Normal"/>
    <w:link w:val="IntenseQuoteChar"/>
    <w:uiPriority w:val="30"/>
    <w:qFormat/>
    <w:rsid w:val="00EA50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08F"/>
    <w:rPr>
      <w:i/>
      <w:iCs/>
      <w:color w:val="0F4761" w:themeColor="accent1" w:themeShade="BF"/>
    </w:rPr>
  </w:style>
  <w:style w:type="character" w:styleId="IntenseReference">
    <w:name w:val="Intense Reference"/>
    <w:basedOn w:val="DefaultParagraphFont"/>
    <w:uiPriority w:val="32"/>
    <w:qFormat/>
    <w:rsid w:val="00EA508F"/>
    <w:rPr>
      <w:b/>
      <w:bCs/>
      <w:smallCaps/>
      <w:color w:val="0F4761" w:themeColor="accent1" w:themeShade="BF"/>
      <w:spacing w:val="5"/>
    </w:rPr>
  </w:style>
  <w:style w:type="character" w:styleId="CommentReference">
    <w:name w:val="annotation reference"/>
    <w:basedOn w:val="DefaultParagraphFont"/>
    <w:uiPriority w:val="99"/>
    <w:semiHidden/>
    <w:unhideWhenUsed/>
    <w:rsid w:val="00EA508F"/>
    <w:rPr>
      <w:color w:val="000000"/>
      <w:sz w:val="16"/>
      <w:szCs w:val="16"/>
    </w:rPr>
  </w:style>
  <w:style w:type="paragraph" w:styleId="NormalWeb">
    <w:name w:val="Normal (Web)"/>
    <w:basedOn w:val="Normal"/>
    <w:uiPriority w:val="99"/>
    <w:semiHidden/>
    <w:unhideWhenUsed/>
    <w:rsid w:val="00EA508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EA508F"/>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kern w:val="0"/>
      <w:sz w:val="20"/>
      <w:szCs w:val="20"/>
      <w:lang w:eastAsia="en-GB"/>
      <w14:ligatures w14:val="none"/>
    </w:rPr>
  </w:style>
  <w:style w:type="paragraph" w:styleId="Header">
    <w:name w:val="header"/>
    <w:basedOn w:val="Normal"/>
    <w:link w:val="HeaderChar"/>
    <w:uiPriority w:val="99"/>
    <w:unhideWhenUsed/>
    <w:rsid w:val="00541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879"/>
    <w:rPr>
      <w:rFonts w:ascii="Arial" w:eastAsia="Arial" w:hAnsi="Arial" w:cs="Arial"/>
      <w:color w:val="000000"/>
      <w:kern w:val="0"/>
      <w:sz w:val="22"/>
      <w:szCs w:val="22"/>
      <w:lang w:eastAsia="en-GB"/>
      <w14:ligatures w14:val="none"/>
    </w:rPr>
  </w:style>
  <w:style w:type="paragraph" w:styleId="Footer">
    <w:name w:val="footer"/>
    <w:basedOn w:val="Normal"/>
    <w:link w:val="FooterChar"/>
    <w:uiPriority w:val="99"/>
    <w:unhideWhenUsed/>
    <w:rsid w:val="00541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879"/>
    <w:rPr>
      <w:rFonts w:ascii="Arial" w:eastAsia="Arial" w:hAnsi="Arial" w:cs="Arial"/>
      <w:color w:val="000000"/>
      <w:kern w:val="0"/>
      <w:sz w:val="22"/>
      <w:szCs w:val="22"/>
      <w:lang w:eastAsia="en-GB"/>
      <w14:ligatures w14:val="none"/>
    </w:rPr>
  </w:style>
  <w:style w:type="paragraph" w:styleId="CommentSubject">
    <w:name w:val="annotation subject"/>
    <w:basedOn w:val="CommentText"/>
    <w:next w:val="CommentText"/>
    <w:link w:val="CommentSubjectChar"/>
    <w:uiPriority w:val="99"/>
    <w:semiHidden/>
    <w:unhideWhenUsed/>
    <w:rsid w:val="00DC5295"/>
    <w:rPr>
      <w:b/>
      <w:bCs/>
    </w:rPr>
  </w:style>
  <w:style w:type="character" w:customStyle="1" w:styleId="CommentSubjectChar">
    <w:name w:val="Comment Subject Char"/>
    <w:basedOn w:val="CommentTextChar"/>
    <w:link w:val="CommentSubject"/>
    <w:uiPriority w:val="99"/>
    <w:semiHidden/>
    <w:rsid w:val="00DC5295"/>
    <w:rPr>
      <w:rFonts w:ascii="Arial" w:eastAsia="Arial" w:hAnsi="Arial" w:cs="Arial"/>
      <w:b/>
      <w:bCs/>
      <w:color w:val="000000"/>
      <w:kern w:val="0"/>
      <w:sz w:val="20"/>
      <w:szCs w:val="20"/>
      <w:lang w:eastAsia="en-GB"/>
      <w14:ligatures w14:val="none"/>
    </w:rPr>
  </w:style>
  <w:style w:type="character" w:styleId="Emphasis">
    <w:name w:val="Emphasis"/>
    <w:basedOn w:val="DefaultParagraphFont"/>
    <w:uiPriority w:val="20"/>
    <w:qFormat/>
    <w:rsid w:val="00C028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8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f4ace9-8875-4b97-84b3-dd15f6ec54b8">
      <Terms xmlns="http://schemas.microsoft.com/office/infopath/2007/PartnerControls"/>
    </lcf76f155ced4ddcb4097134ff3c332f>
    <TaxCatchAll xmlns="ac732f3f-0705-4639-a9f8-098ca3e9b0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24D8B21B16584FBED654EAACDD7609" ma:contentTypeVersion="11" ma:contentTypeDescription="Create a new document." ma:contentTypeScope="" ma:versionID="950647df33855ca9e6130262592a2106">
  <xsd:schema xmlns:xsd="http://www.w3.org/2001/XMLSchema" xmlns:xs="http://www.w3.org/2001/XMLSchema" xmlns:p="http://schemas.microsoft.com/office/2006/metadata/properties" xmlns:ns2="b7f4ace9-8875-4b97-84b3-dd15f6ec54b8" xmlns:ns3="ac732f3f-0705-4639-a9f8-098ca3e9b084" targetNamespace="http://schemas.microsoft.com/office/2006/metadata/properties" ma:root="true" ma:fieldsID="d960ece378fb0ba15077f49d62e4ea33" ns2:_="" ns3:_="">
    <xsd:import namespace="b7f4ace9-8875-4b97-84b3-dd15f6ec54b8"/>
    <xsd:import namespace="ac732f3f-0705-4639-a9f8-098ca3e9b0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4ace9-8875-4b97-84b3-dd15f6ec5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781f5c-b0a2-49a9-a567-51a4d4b180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32f3f-0705-4639-a9f8-098ca3e9b0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0b36ed-bb47-42e2-b5e0-2a1543d66e06}" ma:internalName="TaxCatchAll" ma:showField="CatchAllData" ma:web="ac732f3f-0705-4639-a9f8-098ca3e9b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23A51-A232-46AD-80BF-F709ACE05743}">
  <ds:schemaRefs>
    <ds:schemaRef ds:uri="http://schemas.microsoft.com/sharepoint/v3/contenttype/forms"/>
  </ds:schemaRefs>
</ds:datastoreItem>
</file>

<file path=customXml/itemProps2.xml><?xml version="1.0" encoding="utf-8"?>
<ds:datastoreItem xmlns:ds="http://schemas.openxmlformats.org/officeDocument/2006/customXml" ds:itemID="{ADB64AFA-7755-4500-ACCD-AB056A9A4866}">
  <ds:schemaRefs>
    <ds:schemaRef ds:uri="http://schemas.microsoft.com/office/2006/metadata/properties"/>
    <ds:schemaRef ds:uri="http://schemas.microsoft.com/office/infopath/2007/PartnerControls"/>
    <ds:schemaRef ds:uri="b7f4ace9-8875-4b97-84b3-dd15f6ec54b8"/>
    <ds:schemaRef ds:uri="ac732f3f-0705-4639-a9f8-098ca3e9b084"/>
  </ds:schemaRefs>
</ds:datastoreItem>
</file>

<file path=customXml/itemProps3.xml><?xml version="1.0" encoding="utf-8"?>
<ds:datastoreItem xmlns:ds="http://schemas.openxmlformats.org/officeDocument/2006/customXml" ds:itemID="{BE52461A-5F6B-423F-A574-DAE10CFF7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4ace9-8875-4b97-84b3-dd15f6ec54b8"/>
    <ds:schemaRef ds:uri="ac732f3f-0705-4639-a9f8-098ca3e9b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1422</Words>
  <Characters>8111</Characters>
  <Application>Microsoft Office Word</Application>
  <DocSecurity>0</DocSecurity>
  <Lines>67</Lines>
  <Paragraphs>19</Paragraphs>
  <ScaleCrop>false</ScaleCrop>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Sandars</dc:creator>
  <cp:keywords/>
  <dc:description/>
  <cp:lastModifiedBy>Tania Bennett</cp:lastModifiedBy>
  <cp:revision>3</cp:revision>
  <dcterms:created xsi:type="dcterms:W3CDTF">2025-07-09T07:50:00Z</dcterms:created>
  <dcterms:modified xsi:type="dcterms:W3CDTF">2025-07-09T07:52:00Z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0x010100A024D8B21B16584FBED654EAACDD7609</vt:lpwstr>
  </property>
  <property fmtid="{D5CDD505-2E9C-101B-9397-08002B2CF9AE}" pid="3" name="MediaServiceImageTags">
    <vt:lpwstr/>
  </property>
</Properties>
</file>